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4D2" w14:textId="170D1EED"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A75AA3">
        <w:rPr>
          <w:b/>
          <w:noProof/>
          <w:sz w:val="24"/>
        </w:rPr>
        <w:t>9</w:t>
      </w:r>
      <w:r>
        <w:rPr>
          <w:b/>
          <w:noProof/>
          <w:sz w:val="24"/>
        </w:rPr>
        <w:t>-e</w:t>
      </w:r>
      <w:r>
        <w:rPr>
          <w:rFonts w:cs="Arial"/>
          <w:b/>
          <w:i/>
          <w:noProof/>
          <w:sz w:val="22"/>
          <w:szCs w:val="22"/>
          <w:lang w:val="en-GB"/>
        </w:rPr>
        <w:tab/>
      </w:r>
      <w:r w:rsidR="00EC26FB" w:rsidRPr="00EC26FB">
        <w:rPr>
          <w:rFonts w:cs="Arial"/>
          <w:b/>
          <w:i/>
          <w:noProof/>
          <w:sz w:val="22"/>
          <w:szCs w:val="22"/>
          <w:lang w:val="en-GB" w:eastAsia="zh-CN"/>
        </w:rPr>
        <w:t>R2-2207816</w:t>
      </w:r>
    </w:p>
    <w:p w14:paraId="092D7AC8" w14:textId="77777777" w:rsidR="00463669" w:rsidRDefault="00A75AA3"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17</w:t>
      </w:r>
      <w:r w:rsidR="00385ECA" w:rsidRPr="003C7701">
        <w:rPr>
          <w:rFonts w:ascii="Arial" w:eastAsia="SimSun" w:hAnsi="Arial" w:cs="Arial"/>
          <w:b/>
          <w:noProof/>
          <w:sz w:val="22"/>
          <w:szCs w:val="22"/>
          <w:vertAlign w:val="superscript"/>
          <w:lang w:eastAsia="zh-CN"/>
        </w:rPr>
        <w:t>th</w:t>
      </w:r>
      <w:r w:rsidR="004B6BBE">
        <w:rPr>
          <w:rFonts w:ascii="Arial" w:eastAsia="SimSun" w:hAnsi="Arial" w:cs="Arial"/>
          <w:b/>
          <w:noProof/>
          <w:sz w:val="22"/>
          <w:szCs w:val="22"/>
          <w:lang w:eastAsia="zh-CN"/>
        </w:rPr>
        <w:t xml:space="preserve"> August</w:t>
      </w:r>
      <w:r>
        <w:rPr>
          <w:rFonts w:ascii="Arial" w:eastAsia="SimSun" w:hAnsi="Arial" w:cs="Arial"/>
          <w:b/>
          <w:noProof/>
          <w:sz w:val="22"/>
          <w:szCs w:val="22"/>
          <w:lang w:eastAsia="zh-CN"/>
        </w:rPr>
        <w:t xml:space="preserve"> – 26</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sidR="004B6BBE">
        <w:rPr>
          <w:rFonts w:ascii="Arial" w:eastAsia="SimSun" w:hAnsi="Arial" w:cs="Arial"/>
          <w:b/>
          <w:noProof/>
          <w:sz w:val="22"/>
          <w:szCs w:val="22"/>
          <w:lang w:eastAsia="zh-CN"/>
        </w:rPr>
        <w:t>August</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14:paraId="30CC10DE" w14:textId="157BDDBE"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A75AA3">
        <w:rPr>
          <w:rFonts w:ascii="Arial" w:eastAsia="SimSun" w:hAnsi="Arial" w:cs="Arial"/>
          <w:sz w:val="22"/>
          <w:lang w:eastAsia="zh-CN"/>
        </w:rPr>
        <w:t>8.</w:t>
      </w:r>
      <w:r w:rsidR="007A3F0C">
        <w:rPr>
          <w:rFonts w:ascii="Arial" w:eastAsia="SimSun" w:hAnsi="Arial" w:cs="Arial"/>
          <w:sz w:val="22"/>
          <w:lang w:eastAsia="zh-CN"/>
        </w:rPr>
        <w:t>1</w:t>
      </w:r>
      <w:r w:rsidR="00A75AA3">
        <w:rPr>
          <w:rFonts w:ascii="Arial" w:eastAsia="SimSun" w:hAnsi="Arial" w:cs="Arial"/>
          <w:sz w:val="22"/>
          <w:lang w:eastAsia="zh-CN"/>
        </w:rPr>
        <w:t>2.2</w:t>
      </w:r>
      <w:r>
        <w:rPr>
          <w:rFonts w:ascii="Arial" w:eastAsia="SimSun" w:hAnsi="Arial" w:cs="Arial"/>
          <w:sz w:val="22"/>
          <w:lang w:eastAsia="zh-CN"/>
        </w:rPr>
        <w:t xml:space="preserve"> (</w:t>
      </w:r>
      <w:r w:rsidR="002875E4" w:rsidRPr="002875E4">
        <w:rPr>
          <w:rFonts w:ascii="Arial" w:eastAsia="SimSun" w:hAnsi="Arial" w:cs="Arial" w:hint="eastAsia"/>
          <w:sz w:val="22"/>
          <w:lang w:eastAsia="zh-CN"/>
        </w:rPr>
        <w:t>IAB</w:t>
      </w:r>
      <w:r w:rsidR="002875E4">
        <w:rPr>
          <w:rFonts w:ascii="바탕체" w:eastAsia="바탕체" w:hAnsi="바탕체" w:cs="바탕체" w:hint="eastAsia"/>
          <w:sz w:val="22"/>
          <w:lang w:eastAsia="ko-KR"/>
        </w:rPr>
        <w:t xml:space="preserve"> </w:t>
      </w:r>
      <w:r w:rsidR="007A3F0C" w:rsidRPr="00CC610F">
        <w:rPr>
          <w:rFonts w:ascii="Arial" w:eastAsia="SimSun" w:hAnsi="Arial" w:cs="Arial"/>
          <w:sz w:val="22"/>
          <w:lang w:eastAsia="zh-CN"/>
        </w:rPr>
        <w:t>Mobility Enhancements</w:t>
      </w:r>
      <w:r>
        <w:rPr>
          <w:rFonts w:ascii="Arial" w:eastAsia="SimSun" w:hAnsi="Arial" w:cs="Arial"/>
          <w:sz w:val="22"/>
          <w:lang w:eastAsia="zh-CN"/>
        </w:rPr>
        <w:t>)</w:t>
      </w:r>
    </w:p>
    <w:p w14:paraId="1FAFCFB2"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36BF983C" w14:textId="1A26C7F5"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7A3F0C">
        <w:rPr>
          <w:rFonts w:ascii="Arial" w:hAnsi="Arial" w:cs="Arial"/>
          <w:sz w:val="22"/>
        </w:rPr>
        <w:t>the enhancement of IAB node mobility</w:t>
      </w:r>
    </w:p>
    <w:p w14:paraId="6F4014F4"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0870C8B5" w14:textId="77777777" w:rsidR="00463669" w:rsidRDefault="00463669" w:rsidP="00463669">
      <w:pPr>
        <w:pStyle w:val="1"/>
        <w:rPr>
          <w:rFonts w:eastAsia="SimSun"/>
          <w:lang w:eastAsia="zh-CN"/>
        </w:rPr>
      </w:pPr>
      <w:r>
        <w:t>Introduction</w:t>
      </w:r>
    </w:p>
    <w:p w14:paraId="73C3F4A7" w14:textId="417DA8CD" w:rsidR="007A3F0C" w:rsidRDefault="007A3F0C" w:rsidP="007A3F0C">
      <w:r>
        <w:t>Rel-18 mobile IAB has the following objectives (only ones related to RAN2</w:t>
      </w:r>
      <w:r w:rsidR="000F6672">
        <w:t xml:space="preserve"> are highlighted</w:t>
      </w:r>
      <w:r>
        <w:t>):</w:t>
      </w:r>
    </w:p>
    <w:tbl>
      <w:tblPr>
        <w:tblStyle w:val="a5"/>
        <w:tblW w:w="0" w:type="auto"/>
        <w:tblLook w:val="04A0" w:firstRow="1" w:lastRow="0" w:firstColumn="1" w:lastColumn="0" w:noHBand="0" w:noVBand="1"/>
      </w:tblPr>
      <w:tblGrid>
        <w:gridCol w:w="9350"/>
      </w:tblGrid>
      <w:tr w:rsidR="007A3F0C" w14:paraId="78131415" w14:textId="77777777" w:rsidTr="00437702">
        <w:tc>
          <w:tcPr>
            <w:tcW w:w="9350" w:type="dxa"/>
          </w:tcPr>
          <w:p w14:paraId="3F8DAD91" w14:textId="77777777" w:rsidR="007A3F0C" w:rsidRDefault="007A3F0C" w:rsidP="00437702"/>
          <w:p w14:paraId="39487A1A" w14:textId="77777777" w:rsidR="007A3F0C" w:rsidRPr="007C7979" w:rsidRDefault="007A3F0C" w:rsidP="007A3F0C">
            <w:pPr>
              <w:numPr>
                <w:ilvl w:val="0"/>
                <w:numId w:val="43"/>
              </w:numPr>
              <w:autoSpaceDE/>
              <w:autoSpaceDN/>
              <w:spacing w:before="60" w:after="60"/>
              <w:rPr>
                <w:rFonts w:ascii="Calibri" w:hAnsi="Calibri"/>
                <w:sz w:val="22"/>
                <w:highlight w:val="yellow"/>
              </w:rPr>
            </w:pPr>
            <w:r w:rsidRPr="007C7979">
              <w:rPr>
                <w:rFonts w:ascii="Calibri" w:hAnsi="Calibri"/>
                <w:sz w:val="22"/>
                <w:highlight w:val="yellow"/>
              </w:rPr>
              <w:t>Define Procedures for migration/topology adaptation to enable IAB-node mobility, including inter-donor migration of the entire mobile IAB-node (full migration) [RAN3, RAN2]</w:t>
            </w:r>
          </w:p>
          <w:p w14:paraId="2C811CE6" w14:textId="77777777" w:rsidR="007A3F0C" w:rsidRPr="007C7979" w:rsidRDefault="007A3F0C" w:rsidP="007A3F0C">
            <w:pPr>
              <w:numPr>
                <w:ilvl w:val="0"/>
                <w:numId w:val="43"/>
              </w:numPr>
              <w:autoSpaceDE/>
              <w:autoSpaceDN/>
              <w:spacing w:before="60" w:after="60"/>
              <w:rPr>
                <w:rFonts w:ascii="Calibri" w:hAnsi="Calibri"/>
                <w:sz w:val="22"/>
                <w:highlight w:val="yellow"/>
              </w:rPr>
            </w:pPr>
            <w:r w:rsidRPr="007C7979">
              <w:rPr>
                <w:rFonts w:ascii="Calibri" w:hAnsi="Calibri"/>
                <w:sz w:val="22"/>
                <w:highlight w:val="yellow"/>
              </w:rPr>
              <w:t>Enhancements for mobility of an IAB-node together with its served UEs, including aspects related to group mobility. No optimizations for the targeting of surrounding UEs. [RAN3, RAN2]</w:t>
            </w:r>
          </w:p>
          <w:p w14:paraId="703E7B25" w14:textId="77777777" w:rsidR="007A3F0C" w:rsidRPr="003A3A8A" w:rsidRDefault="007A3F0C" w:rsidP="00437702">
            <w:pPr>
              <w:autoSpaceDE/>
              <w:autoSpaceDN/>
              <w:spacing w:before="60" w:after="60"/>
              <w:ind w:left="720"/>
              <w:rPr>
                <w:rFonts w:ascii="Calibri" w:hAnsi="Calibri"/>
                <w:i/>
                <w:iCs/>
                <w:sz w:val="22"/>
              </w:rPr>
            </w:pPr>
            <w:r w:rsidRPr="003A3A8A">
              <w:rPr>
                <w:rFonts w:ascii="Calibri" w:hAnsi="Calibri"/>
                <w:i/>
                <w:iCs/>
                <w:sz w:val="22"/>
              </w:rPr>
              <w:t>Note: Solutions should avoid touching upon topics where Rel-17 discussions already occurred and where the topic was excluded from Rel-17, except for enhancements that are specific to IAB-node mobility.</w:t>
            </w:r>
          </w:p>
          <w:p w14:paraId="2807213F" w14:textId="77777777" w:rsidR="007A3F0C" w:rsidRPr="003A3A8A" w:rsidRDefault="007A3F0C" w:rsidP="007A3F0C">
            <w:pPr>
              <w:numPr>
                <w:ilvl w:val="0"/>
                <w:numId w:val="43"/>
              </w:numPr>
              <w:autoSpaceDE/>
              <w:autoSpaceDN/>
              <w:spacing w:before="60" w:after="60"/>
              <w:rPr>
                <w:rFonts w:ascii="Calibri" w:hAnsi="Calibri"/>
                <w:sz w:val="22"/>
              </w:rPr>
            </w:pPr>
            <w:r w:rsidRPr="003A3A8A">
              <w:rPr>
                <w:rFonts w:ascii="Calibri" w:hAnsi="Calibri"/>
                <w:sz w:val="22"/>
              </w:rPr>
              <w:t>Mitigation of interference due to IAB-node mobility, including the avoidance of potential reference and control signal collisions (e.g. PCI, RACH). [RAN3, RAN2]</w:t>
            </w:r>
          </w:p>
          <w:p w14:paraId="34932975" w14:textId="77777777" w:rsidR="007A3F0C" w:rsidRPr="003A3A8A" w:rsidRDefault="007A3F0C" w:rsidP="00437702">
            <w:pPr>
              <w:autoSpaceDE/>
              <w:autoSpaceDN/>
              <w:spacing w:before="60" w:after="60"/>
              <w:rPr>
                <w:rFonts w:ascii="Calibri" w:hAnsi="Calibri"/>
                <w:sz w:val="22"/>
              </w:rPr>
            </w:pPr>
            <w:r w:rsidRPr="003A3A8A">
              <w:rPr>
                <w:rFonts w:ascii="Calibri" w:hAnsi="Calibri"/>
                <w:sz w:val="22"/>
              </w:rPr>
              <w:t>Note: At the beginning of the work period, RAN3, RAN2 should discuss the potential complexity of a scenario where a mobile IAB node connects to a stationary (intermediate) IAB node, with respect to the scenario where a mobile IAB node connects directly to an IAB-donor.</w:t>
            </w:r>
          </w:p>
          <w:p w14:paraId="0CAA307E" w14:textId="77777777" w:rsidR="007A3F0C" w:rsidRDefault="007A3F0C" w:rsidP="00437702"/>
        </w:tc>
      </w:tr>
    </w:tbl>
    <w:p w14:paraId="0EF66052" w14:textId="77777777" w:rsidR="007A3F0C" w:rsidRDefault="007A3F0C" w:rsidP="007A3F0C"/>
    <w:p w14:paraId="1CD9D27A" w14:textId="77777777" w:rsidR="007A3F0C" w:rsidRDefault="007A3F0C" w:rsidP="007A3F0C">
      <w:r>
        <w:t xml:space="preserve">Compared with Rel-16 and 17 IAB, allowing IAB node’s physical mobility triggers the discussion on several aspects: </w:t>
      </w:r>
    </w:p>
    <w:p w14:paraId="6B6C5DFF" w14:textId="77777777" w:rsidR="007A3F0C" w:rsidRDefault="007A3F0C" w:rsidP="007A3F0C">
      <w:pPr>
        <w:pStyle w:val="a6"/>
        <w:widowControl w:val="0"/>
        <w:numPr>
          <w:ilvl w:val="0"/>
          <w:numId w:val="42"/>
        </w:numPr>
        <w:wordWrap w:val="0"/>
        <w:overflowPunct/>
        <w:adjustRightInd/>
        <w:spacing w:after="160" w:line="259" w:lineRule="auto"/>
        <w:ind w:firstLineChars="0"/>
        <w:jc w:val="both"/>
        <w:textAlignment w:val="auto"/>
      </w:pPr>
      <w:r>
        <w:t xml:space="preserve">Whether legacy IAB design for migration can guarantee that the mobile IAB node’s connection is reliable and latency-agnostic enough. </w:t>
      </w:r>
    </w:p>
    <w:p w14:paraId="375EEB03" w14:textId="77777777" w:rsidR="007A3F0C" w:rsidRDefault="007A3F0C" w:rsidP="007A3F0C">
      <w:pPr>
        <w:pStyle w:val="a6"/>
        <w:widowControl w:val="0"/>
        <w:numPr>
          <w:ilvl w:val="0"/>
          <w:numId w:val="42"/>
        </w:numPr>
        <w:wordWrap w:val="0"/>
        <w:overflowPunct/>
        <w:adjustRightInd/>
        <w:spacing w:after="160" w:line="259" w:lineRule="auto"/>
        <w:ind w:firstLineChars="0"/>
        <w:jc w:val="both"/>
        <w:textAlignment w:val="auto"/>
      </w:pPr>
      <w:r>
        <w:t xml:space="preserve">How much </w:t>
      </w:r>
      <w:proofErr w:type="spellStart"/>
      <w:r>
        <w:t>signaling</w:t>
      </w:r>
      <w:proofErr w:type="spellEnd"/>
      <w:r>
        <w:t xml:space="preserve"> occurs during and following the migration, i.e., the signalling to/from CN for</w:t>
      </w:r>
      <w:r w:rsidRPr="00DC40D3">
        <w:t xml:space="preserve"> both migrating IAB node and its access UEs, the signalling within the backhaul that carries this CN signalling, the signalling (more local) on radio links between access UEs and mobile IAB / mobile IAB and its parent node(s),</w:t>
      </w:r>
      <w:r>
        <w:t xml:space="preserve"> and whether all these </w:t>
      </w:r>
      <w:r>
        <w:rPr>
          <w:rFonts w:hint="eastAsia"/>
        </w:rPr>
        <w:t>do</w:t>
      </w:r>
      <w:r>
        <w:t>n’t make any problem on access UE’s data communications</w:t>
      </w:r>
    </w:p>
    <w:p w14:paraId="6E848452" w14:textId="061E01BE" w:rsidR="007A3F0C" w:rsidRDefault="007A3F0C" w:rsidP="007A3F0C">
      <w:pPr>
        <w:pStyle w:val="a6"/>
        <w:widowControl w:val="0"/>
        <w:numPr>
          <w:ilvl w:val="0"/>
          <w:numId w:val="42"/>
        </w:numPr>
        <w:wordWrap w:val="0"/>
        <w:overflowPunct/>
        <w:adjustRightInd/>
        <w:spacing w:after="160" w:line="259" w:lineRule="auto"/>
        <w:ind w:firstLineChars="0"/>
        <w:jc w:val="both"/>
        <w:textAlignment w:val="auto"/>
      </w:pPr>
      <w:r>
        <w:t xml:space="preserve">How much </w:t>
      </w:r>
      <w:proofErr w:type="spellStart"/>
      <w:r>
        <w:t>signaling</w:t>
      </w:r>
      <w:proofErr w:type="spellEnd"/>
      <w:r>
        <w:t xml:space="preserve"> occurs in access UE regardless of mobile IAB node’s migration procedure </w:t>
      </w:r>
    </w:p>
    <w:p w14:paraId="48359BB5" w14:textId="77777777" w:rsidR="007A3F0C" w:rsidRDefault="007A3F0C" w:rsidP="007A3F0C">
      <w:pPr>
        <w:widowControl w:val="0"/>
        <w:wordWrap w:val="0"/>
        <w:overflowPunct/>
        <w:adjustRightInd/>
        <w:spacing w:after="160" w:line="259" w:lineRule="auto"/>
        <w:jc w:val="both"/>
        <w:textAlignment w:val="auto"/>
      </w:pPr>
    </w:p>
    <w:p w14:paraId="6BFCC7EE" w14:textId="77777777" w:rsidR="00463669" w:rsidRDefault="00463669" w:rsidP="00463669">
      <w:pPr>
        <w:pStyle w:val="1"/>
        <w:rPr>
          <w:rFonts w:eastAsia="SimSun"/>
          <w:lang w:eastAsia="zh-CN"/>
        </w:rPr>
      </w:pPr>
      <w:r>
        <w:rPr>
          <w:rFonts w:eastAsia="SimSun"/>
          <w:lang w:eastAsia="zh-CN"/>
        </w:rPr>
        <w:t>Discussion</w:t>
      </w:r>
      <w:bookmarkStart w:id="2" w:name="OLE_LINK462"/>
      <w:bookmarkStart w:id="3" w:name="OLE_LINK463"/>
    </w:p>
    <w:p w14:paraId="59B42BD0" w14:textId="45F76D41" w:rsidR="007A3F0C" w:rsidRDefault="007A3F0C" w:rsidP="007A3F0C">
      <w:pPr>
        <w:pStyle w:val="2"/>
        <w:spacing w:after="240"/>
      </w:pPr>
      <w:r>
        <w:t>Whether l</w:t>
      </w:r>
      <w:r>
        <w:rPr>
          <w:rFonts w:hint="eastAsia"/>
        </w:rPr>
        <w:t xml:space="preserve">egacy </w:t>
      </w:r>
      <w:r>
        <w:t>IAB migration mechanism is enough for IAB node itself</w:t>
      </w:r>
      <w:r w:rsidR="0011659C">
        <w:t xml:space="preserve"> and its access UEs</w:t>
      </w:r>
    </w:p>
    <w:p w14:paraId="70019E41" w14:textId="77777777" w:rsidR="007A3F0C" w:rsidRDefault="007A3F0C" w:rsidP="007A3F0C">
      <w:r>
        <w:lastRenderedPageBreak/>
        <w:t>A</w:t>
      </w:r>
      <w:r>
        <w:rPr>
          <w:rFonts w:hint="eastAsia"/>
        </w:rPr>
        <w:t xml:space="preserve">lready </w:t>
      </w:r>
      <w:r>
        <w:t xml:space="preserve">IAB node has </w:t>
      </w:r>
      <w:r>
        <w:rPr>
          <w:rFonts w:hint="eastAsia"/>
        </w:rPr>
        <w:t xml:space="preserve">the migration </w:t>
      </w:r>
      <w:r>
        <w:t xml:space="preserve">procedures </w:t>
      </w:r>
      <w:r>
        <w:rPr>
          <w:rFonts w:hint="eastAsia"/>
        </w:rPr>
        <w:t xml:space="preserve">for any </w:t>
      </w:r>
      <w:r>
        <w:t xml:space="preserve">kind of </w:t>
      </w:r>
      <w:r>
        <w:rPr>
          <w:rFonts w:hint="eastAsia"/>
        </w:rPr>
        <w:t xml:space="preserve">deployment cases </w:t>
      </w:r>
      <w:r>
        <w:t xml:space="preserve">through Rel-16 and 17, i.e., intra-/inter-DU, intra-/inter-donor. Baseline of legacy procedures are to reuse the UE’s mobility solutions which is triggered by RRM configuration, and relocation of RRC to the target cell/node/donor and the additional point compared UE’s procedure is to update the DU and F1 related configuration at the IAB node after RRC context is relocated to the target parent/donor node. For inter-donor migration, it was partial migration IAB node and access UEs’ context are partially anchored at source donor and target donor separately. This is still limitation for inter-donor migration case to be applied mobile IAB node by considering mobile IAB node’s physical movement. Sticking to the original source node would make significant inefficiency w.r.t. inter node </w:t>
      </w:r>
      <w:proofErr w:type="spellStart"/>
      <w:r>
        <w:t>signaling</w:t>
      </w:r>
      <w:proofErr w:type="spellEnd"/>
      <w:r>
        <w:t xml:space="preserve">, and latency as the physical distance between the source node and target node for migration IAB node will increase. So full migration needs to be applied for Rel-18 mobile IAB node. </w:t>
      </w:r>
    </w:p>
    <w:p w14:paraId="09211FB3" w14:textId="77777777" w:rsidR="007A3F0C" w:rsidRPr="00E8755D" w:rsidRDefault="007A3F0C" w:rsidP="007A3F0C">
      <w:pPr>
        <w:rPr>
          <w:b/>
        </w:rPr>
      </w:pPr>
      <w:r w:rsidRPr="00E8755D">
        <w:rPr>
          <w:b/>
        </w:rPr>
        <w:t xml:space="preserve">Proposal 1. RAN2 design the IAB-MT operation assuming full migration. </w:t>
      </w:r>
    </w:p>
    <w:p w14:paraId="56C9C1B6" w14:textId="13028511" w:rsidR="007A3F0C" w:rsidRDefault="007A3F0C" w:rsidP="007A3F0C">
      <w:r w:rsidRPr="00DC40D3">
        <w:t>When considering whether mult</w:t>
      </w:r>
      <w:r>
        <w:t>i-</w:t>
      </w:r>
      <w:r w:rsidRPr="00DC40D3">
        <w:t>hop should be allowed for mobile IAB node, it is still unclear whether legacy procedure is enough to support the multiple parent hop</w:t>
      </w:r>
      <w:r>
        <w:t>s</w:t>
      </w:r>
      <w:r w:rsidRPr="00DC40D3">
        <w:t xml:space="preserve"> to the donor node.</w:t>
      </w:r>
      <w:r>
        <w:t xml:space="preserve"> In the control plane perspective, there is methods necessary for the minimum operation in the legacy. However it is not guaranteed that necessary latency/fairness level is satisfied by the access UEs </w:t>
      </w:r>
      <w:r w:rsidR="00304590">
        <w:t>upon</w:t>
      </w:r>
      <w:r>
        <w:t xml:space="preserve"> mobile IAB node’s physical movement. </w:t>
      </w:r>
    </w:p>
    <w:p w14:paraId="03ABFB89" w14:textId="003287C0" w:rsidR="007A3F0C" w:rsidRPr="00722399" w:rsidRDefault="007A3F0C" w:rsidP="007A3F0C">
      <w:pPr>
        <w:rPr>
          <w:b/>
        </w:rPr>
      </w:pPr>
      <w:r w:rsidRPr="00D75789">
        <w:rPr>
          <w:b/>
        </w:rPr>
        <w:t xml:space="preserve">Proposal 2. RAN2 discuss on whether legacy migration and </w:t>
      </w:r>
      <w:r w:rsidR="00304590">
        <w:rPr>
          <w:b/>
        </w:rPr>
        <w:t xml:space="preserve">other </w:t>
      </w:r>
      <w:r w:rsidRPr="00D75789">
        <w:rPr>
          <w:b/>
        </w:rPr>
        <w:t>normal procedures can satisfy the access UE’s quality of service leve</w:t>
      </w:r>
      <w:r w:rsidR="00304590">
        <w:rPr>
          <w:b/>
        </w:rPr>
        <w:t>l required when mobile IAB node</w:t>
      </w:r>
      <w:r w:rsidRPr="00D75789">
        <w:rPr>
          <w:b/>
        </w:rPr>
        <w:t xml:space="preserve"> have multiple hops</w:t>
      </w:r>
      <w:r w:rsidR="00304590">
        <w:rPr>
          <w:b/>
        </w:rPr>
        <w:t xml:space="preserve"> to the donor node</w:t>
      </w:r>
      <w:r w:rsidRPr="00D75789">
        <w:rPr>
          <w:b/>
        </w:rPr>
        <w:t xml:space="preserve"> and to judge whether any enhancement is necessary or not. </w:t>
      </w:r>
    </w:p>
    <w:p w14:paraId="77DD5E07" w14:textId="77777777" w:rsidR="007A3F0C" w:rsidRDefault="007A3F0C" w:rsidP="007A3F0C"/>
    <w:p w14:paraId="026D39A5" w14:textId="77777777" w:rsidR="007A3F0C" w:rsidRDefault="007A3F0C" w:rsidP="007A3F0C"/>
    <w:p w14:paraId="33490F3D" w14:textId="77777777" w:rsidR="007A3F0C" w:rsidRDefault="007A3F0C" w:rsidP="007A3F0C"/>
    <w:p w14:paraId="14DA55A8" w14:textId="3B097D2B" w:rsidR="007A3F0C" w:rsidRDefault="007A3F0C" w:rsidP="007A3F0C">
      <w:pPr>
        <w:pStyle w:val="2"/>
        <w:spacing w:after="240"/>
      </w:pPr>
      <w:r>
        <w:t xml:space="preserve">Group mobility </w:t>
      </w:r>
      <w:r w:rsidR="0011659C">
        <w:t xml:space="preserve">upon </w:t>
      </w:r>
      <w:r>
        <w:t>mobile IAB node is handed over.</w:t>
      </w:r>
    </w:p>
    <w:p w14:paraId="1714C4E2" w14:textId="77777777" w:rsidR="007A3F0C" w:rsidRDefault="007A3F0C" w:rsidP="007A3F0C">
      <w:r>
        <w:t xml:space="preserve">IAB node’s mobility triggers some event configured before and measurement report will be reported to the donor. Assuming full migration commented in the section 1, mobile IAB node DU will be anchored at new donor node, and this leads to the change of DU’s configuration, and finally change of the cell run by the DU. The critical configuration to be changed in this case would be NCGI/PCI. NCGI change would be reflected to the system information update procedure. So access UEs under a mobile IAB node will get the new NCGI via system information update procedure. Even there could be some delay to get this fresh information, it can be bearable as normal UE’s operation. </w:t>
      </w:r>
    </w:p>
    <w:p w14:paraId="12D1C415" w14:textId="77777777" w:rsidR="007A3F0C" w:rsidRPr="00435144" w:rsidRDefault="007A3F0C" w:rsidP="007A3F0C">
      <w:pPr>
        <w:rPr>
          <w:i/>
        </w:rPr>
      </w:pPr>
      <w:r w:rsidRPr="00435144">
        <w:rPr>
          <w:i/>
        </w:rPr>
        <w:t>O</w:t>
      </w:r>
      <w:r w:rsidRPr="00435144">
        <w:rPr>
          <w:rFonts w:hint="eastAsia"/>
          <w:i/>
        </w:rPr>
        <w:t xml:space="preserve">bservation </w:t>
      </w:r>
      <w:r w:rsidRPr="00435144">
        <w:rPr>
          <w:i/>
        </w:rPr>
        <w:t>1. NCGI change due to the donor node change can be resolved with system information update procedure, and has no problem for the full migration.</w:t>
      </w:r>
    </w:p>
    <w:p w14:paraId="145C1307" w14:textId="77777777" w:rsidR="007A3F0C" w:rsidRDefault="007A3F0C" w:rsidP="007A3F0C"/>
    <w:p w14:paraId="2B52AC44" w14:textId="77777777" w:rsidR="007A3F0C" w:rsidRDefault="007A3F0C" w:rsidP="007A3F0C">
      <w:r>
        <w:t xml:space="preserve">For PCI, usually PCI is a given resource to the DU via OAM etc. even in some situation this also can be changed based on the CU’s command. So the PCI conflict is usually controlled by implementation (i.e., checking whether initially given PCI is conflict, and if conflict, CU command DU to change to the other non-conflict PCI. Different with this static cell deployment, however, in mobile IAB case, the PCI conflict between mobile IAB node’s one and other (deployed stationary node or even mobile IAB node) ones can continuously happen. In DU perspective, it is safe to follow the new CU’s command to change its PCIs at the migration, not sticking to its initially given PCI. Therefore, DU of mobile IAB node would frequently change its PCI per handover. The PCI is used for basic cell’s identification, and time/frequency synchronization by multiplexing within SSB. Therefore, change of PCI means cell’s change, and that access UE needs to be handed over from old cell with old PCI to the new cell with new PCI. </w:t>
      </w:r>
    </w:p>
    <w:p w14:paraId="1DA77370" w14:textId="77777777" w:rsidR="007A3F0C" w:rsidRPr="00DB7158" w:rsidRDefault="007A3F0C" w:rsidP="007A3F0C">
      <w:pPr>
        <w:rPr>
          <w:i/>
        </w:rPr>
      </w:pPr>
      <w:r w:rsidRPr="00DB7158">
        <w:rPr>
          <w:rFonts w:hint="eastAsia"/>
          <w:i/>
        </w:rPr>
        <w:t xml:space="preserve">Observation 2. </w:t>
      </w:r>
      <w:r w:rsidRPr="00DB7158">
        <w:rPr>
          <w:i/>
        </w:rPr>
        <w:t>D</w:t>
      </w:r>
      <w:r w:rsidRPr="00DB7158">
        <w:rPr>
          <w:rFonts w:hint="eastAsia"/>
          <w:i/>
        </w:rPr>
        <w:t xml:space="preserve">onor node change can </w:t>
      </w:r>
      <w:r w:rsidRPr="00DB7158">
        <w:rPr>
          <w:i/>
        </w:rPr>
        <w:t>lead to the PCI change on the mobile IAB node.</w:t>
      </w:r>
      <w:r>
        <w:rPr>
          <w:i/>
        </w:rPr>
        <w:t xml:space="preserve"> And access UE needs to be change the cell from old cell with old PCI to new cell with new PCI.</w:t>
      </w:r>
    </w:p>
    <w:p w14:paraId="3C045526" w14:textId="77777777" w:rsidR="007A3F0C" w:rsidRDefault="007A3F0C" w:rsidP="007A3F0C"/>
    <w:p w14:paraId="0D4354E5" w14:textId="43CC4E77" w:rsidR="007A3F0C" w:rsidRDefault="007A3F0C" w:rsidP="007A3F0C">
      <w:r>
        <w:rPr>
          <w:rFonts w:hint="eastAsia"/>
        </w:rPr>
        <w:t>As discussed in Rel-17, RAN</w:t>
      </w:r>
      <w:r>
        <w:t xml:space="preserve">3 has been considering using logical DU to run a cell per each PCI, and using hard split physical resources for each cell run by each logical DUs. At least, this method can be understood as a feasible way by RAN3 (LS </w:t>
      </w:r>
      <w:r w:rsidRPr="007A3F0C">
        <w:t>R2-2109143</w:t>
      </w:r>
      <w:r>
        <w:t xml:space="preserve">). Before or after that new cell is turned on, the handover command could be given to each access UE. Once HO command is given to the UE, then the access UE will do handover procedure with optionally random access. In legacy procedure, if this HO command is given to each access UE at the almost same time, then each UE’s random access and sending complete message to the target cell would happen at almost same time. In this </w:t>
      </w:r>
      <w:r>
        <w:lastRenderedPageBreak/>
        <w:t xml:space="preserve">situation, RACH conflict can happen, and UL resource usage might be difficult by each UEs, which could increase the data interruption to access UE, and even leads to connection failure.  </w:t>
      </w:r>
    </w:p>
    <w:p w14:paraId="6B1C909B" w14:textId="77777777" w:rsidR="007A3F0C" w:rsidRPr="00FA2AE9" w:rsidRDefault="007A3F0C" w:rsidP="007A3F0C">
      <w:pPr>
        <w:rPr>
          <w:i/>
        </w:rPr>
      </w:pPr>
      <w:r w:rsidRPr="00FA2AE9">
        <w:rPr>
          <w:rFonts w:hint="eastAsia"/>
          <w:i/>
        </w:rPr>
        <w:t xml:space="preserve">Observation 3. </w:t>
      </w:r>
      <w:r w:rsidRPr="00FA2AE9">
        <w:rPr>
          <w:i/>
        </w:rPr>
        <w:t>F</w:t>
      </w:r>
      <w:r w:rsidRPr="00FA2AE9">
        <w:rPr>
          <w:rFonts w:hint="eastAsia"/>
          <w:i/>
        </w:rPr>
        <w:t xml:space="preserve">ull </w:t>
      </w:r>
      <w:r w:rsidRPr="00FA2AE9">
        <w:rPr>
          <w:i/>
        </w:rPr>
        <w:t>migration might lead to access UE’s handover in bulk at some condensed time duration</w:t>
      </w:r>
      <w:r>
        <w:rPr>
          <w:i/>
        </w:rPr>
        <w:t>, and this could make RACH conflict and transmission of complete message difficult</w:t>
      </w:r>
      <w:r w:rsidRPr="00FA2AE9">
        <w:rPr>
          <w:i/>
        </w:rPr>
        <w:t xml:space="preserve">. </w:t>
      </w:r>
    </w:p>
    <w:p w14:paraId="41E48C16" w14:textId="77777777" w:rsidR="007A3F0C" w:rsidRDefault="007A3F0C" w:rsidP="007A3F0C">
      <w:r>
        <w:t>From above observation, how to deliver the handover command to the access UE, and how to avoid the bulk handover procedure must be the issue to be discussed and solved.</w:t>
      </w:r>
    </w:p>
    <w:p w14:paraId="77DEF28B" w14:textId="77777777" w:rsidR="007A3F0C" w:rsidRDefault="007A3F0C" w:rsidP="007A3F0C"/>
    <w:p w14:paraId="3F0BB46F" w14:textId="77777777" w:rsidR="007A3F0C" w:rsidRDefault="007A3F0C" w:rsidP="007A3F0C">
      <w:pPr>
        <w:rPr>
          <w:b/>
        </w:rPr>
      </w:pPr>
      <w:r w:rsidRPr="00826132">
        <w:rPr>
          <w:b/>
        </w:rPr>
        <w:t xml:space="preserve">Proposal </w:t>
      </w:r>
      <w:r>
        <w:rPr>
          <w:b/>
        </w:rPr>
        <w:t>3</w:t>
      </w:r>
      <w:r w:rsidRPr="00826132">
        <w:rPr>
          <w:b/>
        </w:rPr>
        <w:t>. RAN2 discuss on how to avoid the bulk handover procedure</w:t>
      </w:r>
      <w:r>
        <w:rPr>
          <w:b/>
        </w:rPr>
        <w:t xml:space="preserve"> of access UEs</w:t>
      </w:r>
      <w:r w:rsidRPr="00826132">
        <w:rPr>
          <w:b/>
        </w:rPr>
        <w:t xml:space="preserve"> when full migration is adopted</w:t>
      </w:r>
      <w:r>
        <w:rPr>
          <w:b/>
        </w:rPr>
        <w:t xml:space="preserve"> in the following aspects:</w:t>
      </w:r>
    </w:p>
    <w:p w14:paraId="3F15DC91" w14:textId="77777777" w:rsidR="007A3F0C" w:rsidRDefault="007A3F0C" w:rsidP="007A3F0C">
      <w:pPr>
        <w:pStyle w:val="a6"/>
        <w:widowControl w:val="0"/>
        <w:numPr>
          <w:ilvl w:val="0"/>
          <w:numId w:val="42"/>
        </w:numPr>
        <w:wordWrap w:val="0"/>
        <w:overflowPunct/>
        <w:adjustRightInd/>
        <w:spacing w:after="160" w:line="259" w:lineRule="auto"/>
        <w:ind w:firstLineChars="0"/>
        <w:jc w:val="both"/>
        <w:textAlignment w:val="auto"/>
        <w:rPr>
          <w:b/>
        </w:rPr>
      </w:pPr>
      <w:r>
        <w:rPr>
          <w:b/>
        </w:rPr>
        <w:t>How/when to give handover command to each access UE by donor node</w:t>
      </w:r>
    </w:p>
    <w:p w14:paraId="44BB8323" w14:textId="77777777" w:rsidR="007A3F0C" w:rsidRPr="00B612E4" w:rsidRDefault="007A3F0C" w:rsidP="007A3F0C">
      <w:pPr>
        <w:pStyle w:val="a6"/>
        <w:widowControl w:val="0"/>
        <w:numPr>
          <w:ilvl w:val="0"/>
          <w:numId w:val="42"/>
        </w:numPr>
        <w:wordWrap w:val="0"/>
        <w:overflowPunct/>
        <w:adjustRightInd/>
        <w:spacing w:after="160" w:line="259" w:lineRule="auto"/>
        <w:ind w:firstLineChars="0"/>
        <w:jc w:val="both"/>
        <w:textAlignment w:val="auto"/>
        <w:rPr>
          <w:b/>
        </w:rPr>
      </w:pPr>
      <w:r>
        <w:rPr>
          <w:b/>
        </w:rPr>
        <w:t>Whether any mechanism is necessary for access UE when receiving handover command and completing handover procedure</w:t>
      </w:r>
      <w:r w:rsidRPr="00B612E4">
        <w:rPr>
          <w:b/>
        </w:rPr>
        <w:t>.</w:t>
      </w:r>
    </w:p>
    <w:p w14:paraId="68A2B519" w14:textId="77777777" w:rsidR="007A3F0C" w:rsidRDefault="007A3F0C" w:rsidP="007A3F0C"/>
    <w:p w14:paraId="450A62B0" w14:textId="77777777" w:rsidR="007A3F0C" w:rsidRDefault="007A3F0C" w:rsidP="007A3F0C">
      <w:pPr>
        <w:pStyle w:val="2"/>
        <w:spacing w:after="240"/>
      </w:pPr>
      <w:r>
        <w:t>Access UE’s operation when mobile IAB node physically moves</w:t>
      </w:r>
    </w:p>
    <w:p w14:paraId="3A78D547" w14:textId="77777777" w:rsidR="007A3F0C" w:rsidRDefault="007A3F0C" w:rsidP="007A3F0C"/>
    <w:p w14:paraId="489AC861" w14:textId="77777777" w:rsidR="007A3F0C" w:rsidRDefault="007A3F0C" w:rsidP="007A3F0C">
      <w:r>
        <w:t xml:space="preserve">Mobile IAB node’s movement could be fast enough when considering the train or bus with the IAB node, and from this, therefore access UEs in that transport could face fast and swift </w:t>
      </w:r>
      <w:proofErr w:type="spellStart"/>
      <w:r>
        <w:t>neighbor</w:t>
      </w:r>
      <w:proofErr w:type="spellEnd"/>
      <w:r>
        <w:t xml:space="preserve"> cell appearance/disappearance compared with normal stationary IAB node case, and even that could be simultaneously happened to all of the access UEs under that mobile IAB node. </w:t>
      </w:r>
    </w:p>
    <w:p w14:paraId="750604EE" w14:textId="77777777" w:rsidR="007A3F0C" w:rsidRDefault="007A3F0C" w:rsidP="007A3F0C">
      <w:r>
        <w:t>In connected mode of access UE, usually UE is configured with various types of event for measurement result reporting. There could be absolute signal strength based ones (</w:t>
      </w:r>
      <w:r>
        <w:rPr>
          <w:rFonts w:hint="eastAsia"/>
        </w:rPr>
        <w:t>such as A</w:t>
      </w:r>
      <w:r>
        <w:t>2, A4) and relative signal strength based ones (</w:t>
      </w:r>
      <w:r>
        <w:rPr>
          <w:rFonts w:hint="eastAsia"/>
        </w:rPr>
        <w:t>such as A</w:t>
      </w:r>
      <w:r>
        <w:t xml:space="preserve">3, A5). Considering that most of access UEs will be configured with same kind of events, once an event is satisfied then there would be a measurement reporting from all the access UEs at the same time (or at least almost same time). And even this measurement reporting surge would happen frequently compared with normal UE </w:t>
      </w:r>
      <w:proofErr w:type="spellStart"/>
      <w:r>
        <w:t>behavior</w:t>
      </w:r>
      <w:proofErr w:type="spellEnd"/>
      <w:r>
        <w:t xml:space="preserve">. </w:t>
      </w:r>
    </w:p>
    <w:p w14:paraId="02F81A8C" w14:textId="77777777" w:rsidR="007A3F0C" w:rsidRPr="00882817" w:rsidRDefault="007A3F0C" w:rsidP="007A3F0C">
      <w:pPr>
        <w:rPr>
          <w:i/>
        </w:rPr>
      </w:pPr>
      <w:r w:rsidRPr="00882817">
        <w:rPr>
          <w:i/>
        </w:rPr>
        <w:t xml:space="preserve"> Observation 4. In connected mode, </w:t>
      </w:r>
      <w:proofErr w:type="spellStart"/>
      <w:r w:rsidRPr="00882817">
        <w:rPr>
          <w:i/>
        </w:rPr>
        <w:t>neighbor</w:t>
      </w:r>
      <w:proofErr w:type="spellEnd"/>
      <w:r w:rsidRPr="00882817">
        <w:rPr>
          <w:i/>
        </w:rPr>
        <w:t xml:space="preserve"> cell appearance/disappearance could make measurement reporting surge from most of access UEs. </w:t>
      </w:r>
    </w:p>
    <w:p w14:paraId="031F188C" w14:textId="77777777" w:rsidR="007A3F0C" w:rsidRDefault="007A3F0C" w:rsidP="007A3F0C"/>
    <w:p w14:paraId="5AFD625D" w14:textId="77777777" w:rsidR="007A3F0C" w:rsidRDefault="007A3F0C" w:rsidP="007A3F0C">
      <w:r>
        <w:t xml:space="preserve">For idle/inactive mode UEs, there would be also fast cell reselection based on the change of the serving cell signal strength and </w:t>
      </w:r>
      <w:proofErr w:type="spellStart"/>
      <w:r>
        <w:t>neighbor</w:t>
      </w:r>
      <w:proofErr w:type="spellEnd"/>
      <w:r>
        <w:t xml:space="preserve"> cell signal strength. Cell reselection algorithm is based on the relative signal strength difference between serving/</w:t>
      </w:r>
      <w:proofErr w:type="spellStart"/>
      <w:r>
        <w:t>neighbor</w:t>
      </w:r>
      <w:proofErr w:type="spellEnd"/>
      <w:r>
        <w:t xml:space="preserve"> cell, therefore mobile IAB node is moving through the </w:t>
      </w:r>
      <w:proofErr w:type="spellStart"/>
      <w:r>
        <w:t>center</w:t>
      </w:r>
      <w:proofErr w:type="spellEnd"/>
      <w:r>
        <w:t xml:space="preserve"> of </w:t>
      </w:r>
      <w:proofErr w:type="spellStart"/>
      <w:r>
        <w:t>neighbor</w:t>
      </w:r>
      <w:proofErr w:type="spellEnd"/>
      <w:r>
        <w:t xml:space="preserve"> cell (i.e., area having the strongest cell strength) most of idle/inactive UE will reselect the best cell, but in a while UEs will go back to the IAB node’s cell due to the </w:t>
      </w:r>
      <w:proofErr w:type="spellStart"/>
      <w:r>
        <w:t>neighbor</w:t>
      </w:r>
      <w:proofErr w:type="spellEnd"/>
      <w:r>
        <w:t xml:space="preserve"> cell’s disappearance. This is unnecessary UE’s operation to waste UE power for measurement and reading MIB/SIBs of changed cell. Therefore, it is necessary  </w:t>
      </w:r>
    </w:p>
    <w:p w14:paraId="45B380C4" w14:textId="77777777" w:rsidR="007A3F0C" w:rsidRPr="00B15AFA" w:rsidRDefault="007A3F0C" w:rsidP="007A3F0C">
      <w:pPr>
        <w:rPr>
          <w:i/>
        </w:rPr>
      </w:pPr>
      <w:r w:rsidRPr="00B15AFA">
        <w:rPr>
          <w:i/>
        </w:rPr>
        <w:t>O</w:t>
      </w:r>
      <w:r w:rsidRPr="00B15AFA">
        <w:rPr>
          <w:rFonts w:hint="eastAsia"/>
          <w:i/>
        </w:rPr>
        <w:t xml:space="preserve">bservation </w:t>
      </w:r>
      <w:r w:rsidRPr="00B15AFA">
        <w:rPr>
          <w:i/>
        </w:rPr>
        <w:t xml:space="preserve">5. In idle/inactive mode, access UE might do cell reselection to </w:t>
      </w:r>
      <w:proofErr w:type="spellStart"/>
      <w:r w:rsidRPr="00B15AFA">
        <w:rPr>
          <w:i/>
        </w:rPr>
        <w:t>neighbor</w:t>
      </w:r>
      <w:proofErr w:type="spellEnd"/>
      <w:r w:rsidRPr="00B15AFA">
        <w:rPr>
          <w:i/>
        </w:rPr>
        <w:t xml:space="preserve"> cell </w:t>
      </w:r>
      <w:r>
        <w:rPr>
          <w:i/>
        </w:rPr>
        <w:t xml:space="preserve">unnecessarily </w:t>
      </w:r>
      <w:r w:rsidRPr="00B15AFA">
        <w:rPr>
          <w:i/>
        </w:rPr>
        <w:t>and come back to the IAB node’s cell.</w:t>
      </w:r>
    </w:p>
    <w:p w14:paraId="125FC27C" w14:textId="77777777" w:rsidR="007A3F0C" w:rsidRDefault="007A3F0C" w:rsidP="007A3F0C"/>
    <w:p w14:paraId="7EB4DC5F" w14:textId="77777777" w:rsidR="007A3F0C" w:rsidRDefault="007A3F0C" w:rsidP="007A3F0C">
      <w:r>
        <w:t>From above observations, it is necessary to discuss whether those observation would be a problem, and if so, to find the solutions.</w:t>
      </w:r>
    </w:p>
    <w:p w14:paraId="7B7713BB" w14:textId="77777777" w:rsidR="007A3F0C" w:rsidRDefault="007A3F0C" w:rsidP="007A3F0C"/>
    <w:p w14:paraId="223CEA71" w14:textId="5C3A77EA" w:rsidR="007A3F0C" w:rsidRPr="00B15AFA" w:rsidRDefault="007A3F0C" w:rsidP="007A3F0C">
      <w:pPr>
        <w:rPr>
          <w:b/>
        </w:rPr>
      </w:pPr>
      <w:r w:rsidRPr="00B15AFA">
        <w:rPr>
          <w:b/>
        </w:rPr>
        <w:t xml:space="preserve">Proposal 4. RAN2 discuss on the access UE’s mobility related operation facing IAB node’s mobility regardless of mobile IAB node’s handover </w:t>
      </w:r>
      <w:r w:rsidR="00BC1E32">
        <w:rPr>
          <w:b/>
        </w:rPr>
        <w:t xml:space="preserve">procedure </w:t>
      </w:r>
      <w:r w:rsidRPr="00B15AFA">
        <w:rPr>
          <w:b/>
        </w:rPr>
        <w:t>such as:</w:t>
      </w:r>
    </w:p>
    <w:p w14:paraId="15FAAE1F" w14:textId="374BDB3E" w:rsidR="007A3F0C" w:rsidRPr="00B15AFA" w:rsidRDefault="007A3F0C" w:rsidP="007A3F0C">
      <w:pPr>
        <w:pStyle w:val="a6"/>
        <w:widowControl w:val="0"/>
        <w:numPr>
          <w:ilvl w:val="0"/>
          <w:numId w:val="42"/>
        </w:numPr>
        <w:wordWrap w:val="0"/>
        <w:overflowPunct/>
        <w:adjustRightInd/>
        <w:spacing w:after="160" w:line="259" w:lineRule="auto"/>
        <w:ind w:firstLineChars="0"/>
        <w:jc w:val="both"/>
        <w:textAlignment w:val="auto"/>
        <w:rPr>
          <w:b/>
        </w:rPr>
      </w:pPr>
      <w:r w:rsidRPr="00B15AFA">
        <w:rPr>
          <w:b/>
        </w:rPr>
        <w:t>In connected mode</w:t>
      </w:r>
      <w:r w:rsidR="00BC1E32">
        <w:rPr>
          <w:b/>
        </w:rPr>
        <w:t xml:space="preserve"> of access UE</w:t>
      </w:r>
      <w:r w:rsidRPr="00B15AFA">
        <w:rPr>
          <w:b/>
        </w:rPr>
        <w:t xml:space="preserve">, whether MR surge </w:t>
      </w:r>
      <w:r w:rsidR="00BC1E32">
        <w:rPr>
          <w:b/>
        </w:rPr>
        <w:t xml:space="preserve">from access UE </w:t>
      </w:r>
      <w:r w:rsidRPr="00B15AFA">
        <w:rPr>
          <w:b/>
        </w:rPr>
        <w:t>could be a problem and i</w:t>
      </w:r>
      <w:r w:rsidRPr="00B15AFA">
        <w:rPr>
          <w:b/>
        </w:rPr>
        <w:lastRenderedPageBreak/>
        <w:t xml:space="preserve">f so, </w:t>
      </w:r>
      <w:r w:rsidR="00BC1E32">
        <w:rPr>
          <w:b/>
        </w:rPr>
        <w:t xml:space="preserve">to find </w:t>
      </w:r>
      <w:r w:rsidRPr="00B15AFA">
        <w:rPr>
          <w:b/>
        </w:rPr>
        <w:t>the solution for this</w:t>
      </w:r>
    </w:p>
    <w:p w14:paraId="4CF69029" w14:textId="12938C91" w:rsidR="007A3F0C" w:rsidRPr="00B15AFA" w:rsidRDefault="007A3F0C" w:rsidP="007A3F0C">
      <w:pPr>
        <w:pStyle w:val="a6"/>
        <w:widowControl w:val="0"/>
        <w:numPr>
          <w:ilvl w:val="0"/>
          <w:numId w:val="42"/>
        </w:numPr>
        <w:wordWrap w:val="0"/>
        <w:overflowPunct/>
        <w:adjustRightInd/>
        <w:spacing w:after="160" w:line="259" w:lineRule="auto"/>
        <w:ind w:firstLineChars="0"/>
        <w:jc w:val="both"/>
        <w:textAlignment w:val="auto"/>
        <w:rPr>
          <w:b/>
        </w:rPr>
      </w:pPr>
      <w:r w:rsidRPr="00B15AFA">
        <w:rPr>
          <w:b/>
        </w:rPr>
        <w:t>In idle/inactive mode</w:t>
      </w:r>
      <w:r w:rsidR="00BC1E32">
        <w:rPr>
          <w:b/>
        </w:rPr>
        <w:t xml:space="preserve"> of access UE</w:t>
      </w:r>
      <w:r w:rsidRPr="00B15AFA">
        <w:rPr>
          <w:b/>
        </w:rPr>
        <w:t xml:space="preserve">, whether </w:t>
      </w:r>
      <w:r w:rsidR="00BC1E32">
        <w:rPr>
          <w:b/>
        </w:rPr>
        <w:t xml:space="preserve">access UE’s </w:t>
      </w:r>
      <w:r w:rsidRPr="00B15AFA">
        <w:rPr>
          <w:b/>
        </w:rPr>
        <w:t xml:space="preserve">cell reselection </w:t>
      </w:r>
      <w:r w:rsidR="00BC1E32">
        <w:rPr>
          <w:b/>
        </w:rPr>
        <w:t xml:space="preserve">to neighbour cell (out of </w:t>
      </w:r>
      <w:r w:rsidR="00CE5791">
        <w:rPr>
          <w:b/>
        </w:rPr>
        <w:t xml:space="preserve">the </w:t>
      </w:r>
      <w:r w:rsidR="00BC1E32">
        <w:rPr>
          <w:b/>
        </w:rPr>
        <w:t>IAB node</w:t>
      </w:r>
      <w:r w:rsidR="00CE5791">
        <w:rPr>
          <w:b/>
        </w:rPr>
        <w:t>)</w:t>
      </w:r>
      <w:r w:rsidR="00BC1E32">
        <w:rPr>
          <w:b/>
        </w:rPr>
        <w:t xml:space="preserve"> and again back to </w:t>
      </w:r>
      <w:r w:rsidR="00CE5791">
        <w:rPr>
          <w:b/>
        </w:rPr>
        <w:t>the</w:t>
      </w:r>
      <w:r w:rsidR="00BC1E32">
        <w:rPr>
          <w:b/>
        </w:rPr>
        <w:t xml:space="preserve"> cell of </w:t>
      </w:r>
      <w:r w:rsidRPr="00B15AFA">
        <w:rPr>
          <w:b/>
        </w:rPr>
        <w:t>the IAB node</w:t>
      </w:r>
      <w:r w:rsidR="00CE5791">
        <w:rPr>
          <w:b/>
        </w:rPr>
        <w:t xml:space="preserve"> could be a problem</w:t>
      </w:r>
      <w:r w:rsidRPr="00B15AFA">
        <w:rPr>
          <w:b/>
        </w:rPr>
        <w:t xml:space="preserve">, and if so, </w:t>
      </w:r>
      <w:r w:rsidR="00CE5791">
        <w:rPr>
          <w:b/>
        </w:rPr>
        <w:t xml:space="preserve">to find </w:t>
      </w:r>
      <w:r w:rsidRPr="00B15AFA">
        <w:rPr>
          <w:b/>
        </w:rPr>
        <w:t xml:space="preserve">the solution for this. </w:t>
      </w:r>
    </w:p>
    <w:p w14:paraId="2A0557E0" w14:textId="77777777" w:rsidR="007A3F0C" w:rsidRDefault="007A3F0C" w:rsidP="007A3F0C"/>
    <w:p w14:paraId="4DD028A5" w14:textId="638B34E9" w:rsidR="005D4E72" w:rsidRDefault="005D4E72" w:rsidP="005D4E72">
      <w:pPr>
        <w:rPr>
          <w:b/>
        </w:rPr>
      </w:pPr>
    </w:p>
    <w:p w14:paraId="6E79ADE0" w14:textId="4D106568" w:rsidR="007A3F0C" w:rsidRDefault="007A3F0C" w:rsidP="005D4E72">
      <w:pPr>
        <w:rPr>
          <w:b/>
        </w:rPr>
      </w:pPr>
    </w:p>
    <w:p w14:paraId="6A8612A7" w14:textId="77777777" w:rsidR="005D4E72" w:rsidRDefault="005D4E72" w:rsidP="00B2129D">
      <w:pPr>
        <w:rPr>
          <w:rFonts w:eastAsiaTheme="minorEastAsia"/>
          <w:lang w:eastAsia="ko-KR"/>
        </w:rPr>
      </w:pPr>
    </w:p>
    <w:p w14:paraId="3585EF94" w14:textId="77777777" w:rsidR="00AE762B" w:rsidRPr="00A81CC4" w:rsidRDefault="00AE762B" w:rsidP="00DB528F">
      <w:pPr>
        <w:rPr>
          <w:rFonts w:eastAsiaTheme="minorEastAsia"/>
          <w:lang w:eastAsia="ko-KR"/>
        </w:rPr>
      </w:pPr>
    </w:p>
    <w:bookmarkEnd w:id="2"/>
    <w:bookmarkEnd w:id="3"/>
    <w:p w14:paraId="6E44DB6D" w14:textId="77777777" w:rsidR="00463669" w:rsidRDefault="00463669" w:rsidP="00463669">
      <w:pPr>
        <w:pStyle w:val="1"/>
        <w:rPr>
          <w:rFonts w:eastAsia="SimSun"/>
          <w:sz w:val="32"/>
          <w:lang w:eastAsia="zh-CN"/>
        </w:rPr>
      </w:pPr>
      <w:r>
        <w:rPr>
          <w:rFonts w:eastAsia="SimSun"/>
          <w:sz w:val="32"/>
          <w:lang w:eastAsia="zh-CN"/>
        </w:rPr>
        <w:t>Conclusion</w:t>
      </w:r>
    </w:p>
    <w:p w14:paraId="62A2DC8E" w14:textId="77777777" w:rsidR="00463669" w:rsidRDefault="00463669" w:rsidP="00463669">
      <w:pPr>
        <w:rPr>
          <w:rFonts w:eastAsia="SimSun"/>
          <w:kern w:val="2"/>
          <w:szCs w:val="22"/>
        </w:rPr>
      </w:pPr>
      <w:bookmarkStart w:id="4"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bookmarkEnd w:id="4"/>
    <w:p w14:paraId="17707662" w14:textId="77777777" w:rsidR="000F6672" w:rsidRPr="00E8755D" w:rsidRDefault="000F6672" w:rsidP="000F6672">
      <w:pPr>
        <w:rPr>
          <w:b/>
        </w:rPr>
      </w:pPr>
      <w:r w:rsidRPr="00E8755D">
        <w:rPr>
          <w:b/>
        </w:rPr>
        <w:t xml:space="preserve">Proposal 1. RAN2 design the IAB-MT operation assuming full migration. </w:t>
      </w:r>
    </w:p>
    <w:p w14:paraId="1440BE5A" w14:textId="77777777" w:rsidR="0082303B" w:rsidRPr="00722399" w:rsidRDefault="0082303B" w:rsidP="0082303B">
      <w:pPr>
        <w:rPr>
          <w:b/>
        </w:rPr>
      </w:pPr>
      <w:r w:rsidRPr="00D75789">
        <w:rPr>
          <w:b/>
        </w:rPr>
        <w:t xml:space="preserve">Proposal 2. RAN2 discuss on whether legacy migration and </w:t>
      </w:r>
      <w:r>
        <w:rPr>
          <w:b/>
        </w:rPr>
        <w:t xml:space="preserve">other </w:t>
      </w:r>
      <w:r w:rsidRPr="00D75789">
        <w:rPr>
          <w:b/>
        </w:rPr>
        <w:t>normal procedures can satisfy the access UE’s quality of service leve</w:t>
      </w:r>
      <w:r>
        <w:rPr>
          <w:b/>
        </w:rPr>
        <w:t>l required when mobile IAB node</w:t>
      </w:r>
      <w:r w:rsidRPr="00D75789">
        <w:rPr>
          <w:b/>
        </w:rPr>
        <w:t xml:space="preserve"> have multiple hops</w:t>
      </w:r>
      <w:r>
        <w:rPr>
          <w:b/>
        </w:rPr>
        <w:t xml:space="preserve"> to the donor node</w:t>
      </w:r>
      <w:r w:rsidRPr="00D75789">
        <w:rPr>
          <w:b/>
        </w:rPr>
        <w:t xml:space="preserve"> and to judge whether any enhancement is necessary or not. </w:t>
      </w:r>
    </w:p>
    <w:p w14:paraId="7E6CDEEF" w14:textId="77777777" w:rsidR="000F6672" w:rsidRPr="00435144" w:rsidRDefault="000F6672" w:rsidP="000F6672">
      <w:pPr>
        <w:rPr>
          <w:i/>
        </w:rPr>
      </w:pPr>
      <w:r w:rsidRPr="00435144">
        <w:rPr>
          <w:i/>
        </w:rPr>
        <w:t>O</w:t>
      </w:r>
      <w:r w:rsidRPr="00435144">
        <w:rPr>
          <w:rFonts w:hint="eastAsia"/>
          <w:i/>
        </w:rPr>
        <w:t xml:space="preserve">bservation </w:t>
      </w:r>
      <w:r w:rsidRPr="00435144">
        <w:rPr>
          <w:i/>
        </w:rPr>
        <w:t>1. NCGI change due to the donor node change can be resolved with system information update procedure, and has no problem for the full migration.</w:t>
      </w:r>
    </w:p>
    <w:p w14:paraId="31B164E5" w14:textId="77777777" w:rsidR="000F6672" w:rsidRPr="00DB7158" w:rsidRDefault="000F6672" w:rsidP="000F6672">
      <w:pPr>
        <w:rPr>
          <w:i/>
        </w:rPr>
      </w:pPr>
      <w:r w:rsidRPr="00DB7158">
        <w:rPr>
          <w:rFonts w:hint="eastAsia"/>
          <w:i/>
        </w:rPr>
        <w:t xml:space="preserve">Observation 2. </w:t>
      </w:r>
      <w:r w:rsidRPr="00DB7158">
        <w:rPr>
          <w:i/>
        </w:rPr>
        <w:t>D</w:t>
      </w:r>
      <w:r w:rsidRPr="00DB7158">
        <w:rPr>
          <w:rFonts w:hint="eastAsia"/>
          <w:i/>
        </w:rPr>
        <w:t xml:space="preserve">onor node change can </w:t>
      </w:r>
      <w:r w:rsidRPr="00DB7158">
        <w:rPr>
          <w:i/>
        </w:rPr>
        <w:t>lead to the PCI change on the mobile IAB node.</w:t>
      </w:r>
      <w:r>
        <w:rPr>
          <w:i/>
        </w:rPr>
        <w:t xml:space="preserve"> And access UE needs to be change the cell from old cell with old PCI to new cell with new PCI.</w:t>
      </w:r>
    </w:p>
    <w:p w14:paraId="7D787895" w14:textId="77777777" w:rsidR="000F6672" w:rsidRPr="00FA2AE9" w:rsidRDefault="000F6672" w:rsidP="000F6672">
      <w:pPr>
        <w:rPr>
          <w:i/>
        </w:rPr>
      </w:pPr>
      <w:r w:rsidRPr="00FA2AE9">
        <w:rPr>
          <w:rFonts w:hint="eastAsia"/>
          <w:i/>
        </w:rPr>
        <w:t xml:space="preserve">Observation 3. </w:t>
      </w:r>
      <w:r w:rsidRPr="00FA2AE9">
        <w:rPr>
          <w:i/>
        </w:rPr>
        <w:t>F</w:t>
      </w:r>
      <w:r w:rsidRPr="00FA2AE9">
        <w:rPr>
          <w:rFonts w:hint="eastAsia"/>
          <w:i/>
        </w:rPr>
        <w:t xml:space="preserve">ull </w:t>
      </w:r>
      <w:r w:rsidRPr="00FA2AE9">
        <w:rPr>
          <w:i/>
        </w:rPr>
        <w:t>migration might lead to access UE’s handover in bulk at some condensed time duration</w:t>
      </w:r>
      <w:r>
        <w:rPr>
          <w:i/>
        </w:rPr>
        <w:t>, and this could make RACH conflict and transmission of complete message difficult</w:t>
      </w:r>
      <w:r w:rsidRPr="00FA2AE9">
        <w:rPr>
          <w:i/>
        </w:rPr>
        <w:t xml:space="preserve">. </w:t>
      </w:r>
    </w:p>
    <w:p w14:paraId="11B6F2B4" w14:textId="77777777" w:rsidR="000F6672" w:rsidRDefault="000F6672" w:rsidP="000F6672">
      <w:pPr>
        <w:rPr>
          <w:b/>
        </w:rPr>
      </w:pPr>
      <w:r w:rsidRPr="00826132">
        <w:rPr>
          <w:b/>
        </w:rPr>
        <w:t xml:space="preserve">Proposal </w:t>
      </w:r>
      <w:r>
        <w:rPr>
          <w:b/>
        </w:rPr>
        <w:t>3</w:t>
      </w:r>
      <w:r w:rsidRPr="00826132">
        <w:rPr>
          <w:b/>
        </w:rPr>
        <w:t>. RAN2 discuss on how to avoid the bulk handover procedure</w:t>
      </w:r>
      <w:r>
        <w:rPr>
          <w:b/>
        </w:rPr>
        <w:t xml:space="preserve"> of access UEs</w:t>
      </w:r>
      <w:r w:rsidRPr="00826132">
        <w:rPr>
          <w:b/>
        </w:rPr>
        <w:t xml:space="preserve"> when full migration is adopted</w:t>
      </w:r>
      <w:r>
        <w:rPr>
          <w:b/>
        </w:rPr>
        <w:t xml:space="preserve"> in the following aspects:</w:t>
      </w:r>
    </w:p>
    <w:p w14:paraId="32899F8F" w14:textId="77777777" w:rsidR="000F6672" w:rsidRDefault="000F6672" w:rsidP="000F6672">
      <w:pPr>
        <w:pStyle w:val="a6"/>
        <w:widowControl w:val="0"/>
        <w:numPr>
          <w:ilvl w:val="0"/>
          <w:numId w:val="42"/>
        </w:numPr>
        <w:wordWrap w:val="0"/>
        <w:overflowPunct/>
        <w:adjustRightInd/>
        <w:spacing w:after="160" w:line="259" w:lineRule="auto"/>
        <w:ind w:firstLineChars="0"/>
        <w:jc w:val="both"/>
        <w:textAlignment w:val="auto"/>
        <w:rPr>
          <w:b/>
        </w:rPr>
      </w:pPr>
      <w:r>
        <w:rPr>
          <w:b/>
        </w:rPr>
        <w:t>How/when to give handover command to each access UE by donor node</w:t>
      </w:r>
    </w:p>
    <w:p w14:paraId="64BB0551" w14:textId="77777777" w:rsidR="000F6672" w:rsidRPr="00B612E4" w:rsidRDefault="000F6672" w:rsidP="000F6672">
      <w:pPr>
        <w:pStyle w:val="a6"/>
        <w:widowControl w:val="0"/>
        <w:numPr>
          <w:ilvl w:val="0"/>
          <w:numId w:val="42"/>
        </w:numPr>
        <w:wordWrap w:val="0"/>
        <w:overflowPunct/>
        <w:adjustRightInd/>
        <w:spacing w:after="160" w:line="259" w:lineRule="auto"/>
        <w:ind w:firstLineChars="0"/>
        <w:jc w:val="both"/>
        <w:textAlignment w:val="auto"/>
        <w:rPr>
          <w:b/>
        </w:rPr>
      </w:pPr>
      <w:r>
        <w:rPr>
          <w:b/>
        </w:rPr>
        <w:t>Whether any mechanism is necessary for access UE when receiving handover command and completing handover procedure</w:t>
      </w:r>
      <w:r w:rsidRPr="00B612E4">
        <w:rPr>
          <w:b/>
        </w:rPr>
        <w:t>.</w:t>
      </w:r>
    </w:p>
    <w:p w14:paraId="75C7E27E" w14:textId="77777777" w:rsidR="000F6672" w:rsidRPr="00882817" w:rsidRDefault="000F6672" w:rsidP="000F6672">
      <w:pPr>
        <w:rPr>
          <w:i/>
        </w:rPr>
      </w:pPr>
      <w:r w:rsidRPr="00882817">
        <w:rPr>
          <w:i/>
        </w:rPr>
        <w:t xml:space="preserve"> Observation 4. In connected mode, </w:t>
      </w:r>
      <w:proofErr w:type="spellStart"/>
      <w:r w:rsidRPr="00882817">
        <w:rPr>
          <w:i/>
        </w:rPr>
        <w:t>neighbor</w:t>
      </w:r>
      <w:proofErr w:type="spellEnd"/>
      <w:r w:rsidRPr="00882817">
        <w:rPr>
          <w:i/>
        </w:rPr>
        <w:t xml:space="preserve"> cell appearance/disappearance could make measurement reporting surge from most of access UEs. </w:t>
      </w:r>
    </w:p>
    <w:p w14:paraId="1048F576" w14:textId="77777777" w:rsidR="000F6672" w:rsidRPr="00B15AFA" w:rsidRDefault="000F6672" w:rsidP="000F6672">
      <w:pPr>
        <w:rPr>
          <w:i/>
        </w:rPr>
      </w:pPr>
      <w:r w:rsidRPr="00B15AFA">
        <w:rPr>
          <w:i/>
        </w:rPr>
        <w:t>O</w:t>
      </w:r>
      <w:r w:rsidRPr="00B15AFA">
        <w:rPr>
          <w:rFonts w:hint="eastAsia"/>
          <w:i/>
        </w:rPr>
        <w:t xml:space="preserve">bservation </w:t>
      </w:r>
      <w:r w:rsidRPr="00B15AFA">
        <w:rPr>
          <w:i/>
        </w:rPr>
        <w:t xml:space="preserve">5. In idle/inactive mode, access UE might do cell reselection to </w:t>
      </w:r>
      <w:proofErr w:type="spellStart"/>
      <w:r w:rsidRPr="00B15AFA">
        <w:rPr>
          <w:i/>
        </w:rPr>
        <w:t>neighbor</w:t>
      </w:r>
      <w:proofErr w:type="spellEnd"/>
      <w:r w:rsidRPr="00B15AFA">
        <w:rPr>
          <w:i/>
        </w:rPr>
        <w:t xml:space="preserve"> cell </w:t>
      </w:r>
      <w:r>
        <w:rPr>
          <w:i/>
        </w:rPr>
        <w:t xml:space="preserve">unnecessarily </w:t>
      </w:r>
      <w:r w:rsidRPr="00B15AFA">
        <w:rPr>
          <w:i/>
        </w:rPr>
        <w:t>and come back to the IAB node’s cell.</w:t>
      </w:r>
    </w:p>
    <w:p w14:paraId="0F68C414" w14:textId="77777777" w:rsidR="009D0265" w:rsidRPr="00B15AFA" w:rsidRDefault="009D0265" w:rsidP="009D0265">
      <w:pPr>
        <w:rPr>
          <w:b/>
        </w:rPr>
      </w:pPr>
      <w:r w:rsidRPr="00B15AFA">
        <w:rPr>
          <w:b/>
        </w:rPr>
        <w:t xml:space="preserve">Proposal 4. RAN2 discuss on the access UE’s mobility related operation facing IAB node’s mobility regardless of mobile IAB node’s handover </w:t>
      </w:r>
      <w:r>
        <w:rPr>
          <w:b/>
        </w:rPr>
        <w:t xml:space="preserve">procedure </w:t>
      </w:r>
      <w:r w:rsidRPr="00B15AFA">
        <w:rPr>
          <w:b/>
        </w:rPr>
        <w:t>such as:</w:t>
      </w:r>
    </w:p>
    <w:p w14:paraId="4136F85A" w14:textId="77777777" w:rsidR="009D0265" w:rsidRPr="00B15AFA" w:rsidRDefault="009D0265" w:rsidP="009D0265">
      <w:pPr>
        <w:pStyle w:val="a6"/>
        <w:widowControl w:val="0"/>
        <w:numPr>
          <w:ilvl w:val="0"/>
          <w:numId w:val="42"/>
        </w:numPr>
        <w:wordWrap w:val="0"/>
        <w:overflowPunct/>
        <w:adjustRightInd/>
        <w:spacing w:after="160" w:line="259" w:lineRule="auto"/>
        <w:ind w:firstLineChars="0"/>
        <w:jc w:val="both"/>
        <w:textAlignment w:val="auto"/>
        <w:rPr>
          <w:b/>
        </w:rPr>
      </w:pPr>
      <w:r w:rsidRPr="00B15AFA">
        <w:rPr>
          <w:b/>
        </w:rPr>
        <w:t>In connected mode</w:t>
      </w:r>
      <w:r>
        <w:rPr>
          <w:b/>
        </w:rPr>
        <w:t xml:space="preserve"> of access UE</w:t>
      </w:r>
      <w:r w:rsidRPr="00B15AFA">
        <w:rPr>
          <w:b/>
        </w:rPr>
        <w:t xml:space="preserve">, whether MR surge </w:t>
      </w:r>
      <w:r>
        <w:rPr>
          <w:b/>
        </w:rPr>
        <w:t xml:space="preserve">from access UE </w:t>
      </w:r>
      <w:r w:rsidRPr="00B15AFA">
        <w:rPr>
          <w:b/>
        </w:rPr>
        <w:t xml:space="preserve">could be a problem and if so, </w:t>
      </w:r>
      <w:r>
        <w:rPr>
          <w:b/>
        </w:rPr>
        <w:t xml:space="preserve">to find </w:t>
      </w:r>
      <w:r w:rsidRPr="00B15AFA">
        <w:rPr>
          <w:b/>
        </w:rPr>
        <w:t xml:space="preserve">the solution </w:t>
      </w:r>
      <w:bookmarkStart w:id="5" w:name="_GoBack"/>
      <w:bookmarkEnd w:id="5"/>
      <w:r w:rsidRPr="00B15AFA">
        <w:rPr>
          <w:b/>
        </w:rPr>
        <w:t>for this</w:t>
      </w:r>
    </w:p>
    <w:p w14:paraId="74E25A4D" w14:textId="77777777" w:rsidR="009D0265" w:rsidRPr="00B15AFA" w:rsidRDefault="009D0265" w:rsidP="009D0265">
      <w:pPr>
        <w:pStyle w:val="a6"/>
        <w:widowControl w:val="0"/>
        <w:numPr>
          <w:ilvl w:val="0"/>
          <w:numId w:val="42"/>
        </w:numPr>
        <w:wordWrap w:val="0"/>
        <w:overflowPunct/>
        <w:adjustRightInd/>
        <w:spacing w:after="160" w:line="259" w:lineRule="auto"/>
        <w:ind w:firstLineChars="0"/>
        <w:jc w:val="both"/>
        <w:textAlignment w:val="auto"/>
        <w:rPr>
          <w:b/>
        </w:rPr>
      </w:pPr>
      <w:r w:rsidRPr="00B15AFA">
        <w:rPr>
          <w:b/>
        </w:rPr>
        <w:t>In idle/inactive mode</w:t>
      </w:r>
      <w:r>
        <w:rPr>
          <w:b/>
        </w:rPr>
        <w:t xml:space="preserve"> of access UE</w:t>
      </w:r>
      <w:r w:rsidRPr="00B15AFA">
        <w:rPr>
          <w:b/>
        </w:rPr>
        <w:t xml:space="preserve">, whether </w:t>
      </w:r>
      <w:r>
        <w:rPr>
          <w:b/>
        </w:rPr>
        <w:t xml:space="preserve">access UE’s </w:t>
      </w:r>
      <w:r w:rsidRPr="00B15AFA">
        <w:rPr>
          <w:b/>
        </w:rPr>
        <w:t xml:space="preserve">cell reselection </w:t>
      </w:r>
      <w:r>
        <w:rPr>
          <w:b/>
        </w:rPr>
        <w:t xml:space="preserve">to neighbour cell (out of the IAB node) and again back to the cell of </w:t>
      </w:r>
      <w:r w:rsidRPr="00B15AFA">
        <w:rPr>
          <w:b/>
        </w:rPr>
        <w:t>the IAB node</w:t>
      </w:r>
      <w:r>
        <w:rPr>
          <w:b/>
        </w:rPr>
        <w:t xml:space="preserve"> could be a problem</w:t>
      </w:r>
      <w:r w:rsidRPr="00B15AFA">
        <w:rPr>
          <w:b/>
        </w:rPr>
        <w:t xml:space="preserve">, and if so, </w:t>
      </w:r>
      <w:r>
        <w:rPr>
          <w:b/>
        </w:rPr>
        <w:t xml:space="preserve">to find </w:t>
      </w:r>
      <w:r w:rsidRPr="00B15AFA">
        <w:rPr>
          <w:b/>
        </w:rPr>
        <w:t xml:space="preserve">the solution for this. </w:t>
      </w:r>
    </w:p>
    <w:p w14:paraId="749435D7" w14:textId="1CF8C9F7" w:rsidR="000F6672" w:rsidRPr="00B15AFA" w:rsidRDefault="000F6672" w:rsidP="009D0265">
      <w:pPr>
        <w:rPr>
          <w:b/>
        </w:rPr>
      </w:pPr>
    </w:p>
    <w:sectPr w:rsidR="000F6672" w:rsidRPr="00B15AFA" w:rsidSect="00AE762B">
      <w:headerReference w:type="default" r:id="rId7"/>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3247E" w14:textId="77777777" w:rsidR="006B5908" w:rsidRDefault="006B5908">
      <w:pPr>
        <w:spacing w:after="0"/>
      </w:pPr>
      <w:r>
        <w:separator/>
      </w:r>
    </w:p>
  </w:endnote>
  <w:endnote w:type="continuationSeparator" w:id="0">
    <w:p w14:paraId="565CC181" w14:textId="77777777" w:rsidR="006B5908" w:rsidRDefault="006B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72468" w14:textId="77777777" w:rsidR="006B5908" w:rsidRDefault="006B5908">
      <w:pPr>
        <w:spacing w:after="0"/>
      </w:pPr>
      <w:r>
        <w:separator/>
      </w:r>
    </w:p>
  </w:footnote>
  <w:footnote w:type="continuationSeparator" w:id="0">
    <w:p w14:paraId="0820FD37" w14:textId="77777777" w:rsidR="006B5908" w:rsidRDefault="006B59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C435"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6224D"/>
    <w:multiLevelType w:val="hybridMultilevel"/>
    <w:tmpl w:val="5296D840"/>
    <w:lvl w:ilvl="0" w:tplc="276A53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1F15FB"/>
    <w:multiLevelType w:val="hybridMultilevel"/>
    <w:tmpl w:val="06E01D8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5322A88"/>
    <w:multiLevelType w:val="hybridMultilevel"/>
    <w:tmpl w:val="BBB221A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2"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91E7E52"/>
    <w:multiLevelType w:val="hybridMultilevel"/>
    <w:tmpl w:val="8C5E98F2"/>
    <w:lvl w:ilvl="0" w:tplc="7DCA12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9703500"/>
    <w:multiLevelType w:val="hybridMultilevel"/>
    <w:tmpl w:val="1C6A8074"/>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FA100A"/>
    <w:multiLevelType w:val="hybridMultilevel"/>
    <w:tmpl w:val="1C729B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FF096E"/>
    <w:multiLevelType w:val="hybridMultilevel"/>
    <w:tmpl w:val="C39E20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490F92"/>
    <w:multiLevelType w:val="hybridMultilevel"/>
    <w:tmpl w:val="11BA67A6"/>
    <w:lvl w:ilvl="0" w:tplc="2C528FB8">
      <w:start w:val="8"/>
      <w:numFmt w:val="bullet"/>
      <w:lvlText w:val="-"/>
      <w:lvlJc w:val="left"/>
      <w:pPr>
        <w:ind w:left="760" w:hanging="36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466A3D"/>
    <w:multiLevelType w:val="hybridMultilevel"/>
    <w:tmpl w:val="C5D892DC"/>
    <w:lvl w:ilvl="0" w:tplc="6E50622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100163C"/>
    <w:multiLevelType w:val="hybridMultilevel"/>
    <w:tmpl w:val="F06C05D2"/>
    <w:lvl w:ilvl="0" w:tplc="D23610FC">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9D6680"/>
    <w:multiLevelType w:val="hybridMultilevel"/>
    <w:tmpl w:val="A56A7C68"/>
    <w:lvl w:ilvl="0" w:tplc="876E1234">
      <w:start w:val="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1"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ED800AB"/>
    <w:multiLevelType w:val="hybridMultilevel"/>
    <w:tmpl w:val="EF7CF60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30"/>
  </w:num>
  <w:num w:numId="3">
    <w:abstractNumId w:val="9"/>
  </w:num>
  <w:num w:numId="4">
    <w:abstractNumId w:val="2"/>
  </w:num>
  <w:num w:numId="5">
    <w:abstractNumId w:val="31"/>
  </w:num>
  <w:num w:numId="6">
    <w:abstractNumId w:val="15"/>
  </w:num>
  <w:num w:numId="7">
    <w:abstractNumId w:val="5"/>
  </w:num>
  <w:num w:numId="8">
    <w:abstractNumId w:val="19"/>
  </w:num>
  <w:num w:numId="9">
    <w:abstractNumId w:val="26"/>
  </w:num>
  <w:num w:numId="10">
    <w:abstractNumId w:val="5"/>
  </w:num>
  <w:num w:numId="11">
    <w:abstractNumId w:val="17"/>
  </w:num>
  <w:num w:numId="12">
    <w:abstractNumId w:val="11"/>
  </w:num>
  <w:num w:numId="13">
    <w:abstractNumId w:val="3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8"/>
  </w:num>
  <w:num w:numId="18">
    <w:abstractNumId w:val="1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0"/>
  </w:num>
  <w:num w:numId="23">
    <w:abstractNumId w:val="0"/>
  </w:num>
  <w:num w:numId="24">
    <w:abstractNumId w:val="6"/>
  </w:num>
  <w:num w:numId="25">
    <w:abstractNumId w:val="33"/>
  </w:num>
  <w:num w:numId="26">
    <w:abstractNumId w:val="5"/>
  </w:num>
  <w:num w:numId="27">
    <w:abstractNumId w:val="8"/>
  </w:num>
  <w:num w:numId="28">
    <w:abstractNumId w:val="14"/>
  </w:num>
  <w:num w:numId="29">
    <w:abstractNumId w:val="5"/>
  </w:num>
  <w:num w:numId="30">
    <w:abstractNumId w:val="7"/>
  </w:num>
  <w:num w:numId="31">
    <w:abstractNumId w:val="4"/>
  </w:num>
  <w:num w:numId="32">
    <w:abstractNumId w:val="10"/>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1"/>
  </w:num>
  <w:num w:numId="38">
    <w:abstractNumId w:val="24"/>
  </w:num>
  <w:num w:numId="39">
    <w:abstractNumId w:val="18"/>
  </w:num>
  <w:num w:numId="40">
    <w:abstractNumId w:val="29"/>
  </w:num>
  <w:num w:numId="41">
    <w:abstractNumId w:val="23"/>
  </w:num>
  <w:num w:numId="42">
    <w:abstractNumId w:val="22"/>
  </w:num>
  <w:num w:numId="43">
    <w:abstractNumId w:val="25"/>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101B4"/>
    <w:rsid w:val="00012E4E"/>
    <w:rsid w:val="00016E30"/>
    <w:rsid w:val="000276B1"/>
    <w:rsid w:val="00032009"/>
    <w:rsid w:val="00035010"/>
    <w:rsid w:val="00041FFA"/>
    <w:rsid w:val="000435EA"/>
    <w:rsid w:val="00050E61"/>
    <w:rsid w:val="0005175D"/>
    <w:rsid w:val="00053AD7"/>
    <w:rsid w:val="00057721"/>
    <w:rsid w:val="00057793"/>
    <w:rsid w:val="000957CB"/>
    <w:rsid w:val="000B02F9"/>
    <w:rsid w:val="000D131C"/>
    <w:rsid w:val="000D64D3"/>
    <w:rsid w:val="000D7C1B"/>
    <w:rsid w:val="000E42F9"/>
    <w:rsid w:val="000E4414"/>
    <w:rsid w:val="000F6672"/>
    <w:rsid w:val="00106B9B"/>
    <w:rsid w:val="00114879"/>
    <w:rsid w:val="0011659C"/>
    <w:rsid w:val="00131F0F"/>
    <w:rsid w:val="001404E0"/>
    <w:rsid w:val="001418B3"/>
    <w:rsid w:val="00142196"/>
    <w:rsid w:val="00150F93"/>
    <w:rsid w:val="00155226"/>
    <w:rsid w:val="001615FA"/>
    <w:rsid w:val="00175884"/>
    <w:rsid w:val="001768B1"/>
    <w:rsid w:val="00185EF3"/>
    <w:rsid w:val="00187E87"/>
    <w:rsid w:val="001A06A1"/>
    <w:rsid w:val="001A5CC9"/>
    <w:rsid w:val="001A71BF"/>
    <w:rsid w:val="001D393D"/>
    <w:rsid w:val="001D5742"/>
    <w:rsid w:val="00202BB0"/>
    <w:rsid w:val="00204F0B"/>
    <w:rsid w:val="00206362"/>
    <w:rsid w:val="002138DC"/>
    <w:rsid w:val="00213F0E"/>
    <w:rsid w:val="0021767A"/>
    <w:rsid w:val="0022094A"/>
    <w:rsid w:val="00234FA2"/>
    <w:rsid w:val="002619E1"/>
    <w:rsid w:val="00272496"/>
    <w:rsid w:val="00273C08"/>
    <w:rsid w:val="00282A7C"/>
    <w:rsid w:val="00283EE8"/>
    <w:rsid w:val="002875E4"/>
    <w:rsid w:val="00290A23"/>
    <w:rsid w:val="0029738F"/>
    <w:rsid w:val="002A34F5"/>
    <w:rsid w:val="002A566C"/>
    <w:rsid w:val="002A7ECE"/>
    <w:rsid w:val="002B267D"/>
    <w:rsid w:val="002B4F74"/>
    <w:rsid w:val="002C2BB8"/>
    <w:rsid w:val="002C4AC5"/>
    <w:rsid w:val="002C6290"/>
    <w:rsid w:val="002E2FD5"/>
    <w:rsid w:val="002E3AFC"/>
    <w:rsid w:val="002E588E"/>
    <w:rsid w:val="002F68D0"/>
    <w:rsid w:val="00302EBC"/>
    <w:rsid w:val="00304590"/>
    <w:rsid w:val="00332440"/>
    <w:rsid w:val="00335F62"/>
    <w:rsid w:val="00336605"/>
    <w:rsid w:val="00345808"/>
    <w:rsid w:val="003576B3"/>
    <w:rsid w:val="00365F81"/>
    <w:rsid w:val="0036689B"/>
    <w:rsid w:val="003756CA"/>
    <w:rsid w:val="00385ECA"/>
    <w:rsid w:val="00394B80"/>
    <w:rsid w:val="00397D06"/>
    <w:rsid w:val="00397E62"/>
    <w:rsid w:val="003A6941"/>
    <w:rsid w:val="003A7599"/>
    <w:rsid w:val="003B3377"/>
    <w:rsid w:val="003C0C68"/>
    <w:rsid w:val="003C2B8D"/>
    <w:rsid w:val="003C7701"/>
    <w:rsid w:val="003D470F"/>
    <w:rsid w:val="003D4DB4"/>
    <w:rsid w:val="003D59AD"/>
    <w:rsid w:val="003F11B3"/>
    <w:rsid w:val="00405FC5"/>
    <w:rsid w:val="00415800"/>
    <w:rsid w:val="00422DFB"/>
    <w:rsid w:val="00423709"/>
    <w:rsid w:val="0042563A"/>
    <w:rsid w:val="00431FF7"/>
    <w:rsid w:val="004448D7"/>
    <w:rsid w:val="00457A46"/>
    <w:rsid w:val="004608CE"/>
    <w:rsid w:val="00463669"/>
    <w:rsid w:val="00473EF5"/>
    <w:rsid w:val="004916E7"/>
    <w:rsid w:val="00492C68"/>
    <w:rsid w:val="004944DA"/>
    <w:rsid w:val="004B00E0"/>
    <w:rsid w:val="004B0E2C"/>
    <w:rsid w:val="004B69FD"/>
    <w:rsid w:val="004B6BBE"/>
    <w:rsid w:val="004C2954"/>
    <w:rsid w:val="004C4EF1"/>
    <w:rsid w:val="004D13E9"/>
    <w:rsid w:val="004D4E5D"/>
    <w:rsid w:val="004D567B"/>
    <w:rsid w:val="004D57D5"/>
    <w:rsid w:val="004E551D"/>
    <w:rsid w:val="004E6E94"/>
    <w:rsid w:val="00503A5D"/>
    <w:rsid w:val="00504DC9"/>
    <w:rsid w:val="00507A39"/>
    <w:rsid w:val="00512418"/>
    <w:rsid w:val="005151AA"/>
    <w:rsid w:val="00521A92"/>
    <w:rsid w:val="005516DD"/>
    <w:rsid w:val="00556534"/>
    <w:rsid w:val="005566B5"/>
    <w:rsid w:val="00570E58"/>
    <w:rsid w:val="00576742"/>
    <w:rsid w:val="005944E2"/>
    <w:rsid w:val="005978B6"/>
    <w:rsid w:val="005A113D"/>
    <w:rsid w:val="005A2EDB"/>
    <w:rsid w:val="005B1CAD"/>
    <w:rsid w:val="005B1EFC"/>
    <w:rsid w:val="005C2CF3"/>
    <w:rsid w:val="005D4E72"/>
    <w:rsid w:val="005E5AEE"/>
    <w:rsid w:val="005F2C99"/>
    <w:rsid w:val="00602782"/>
    <w:rsid w:val="00640A53"/>
    <w:rsid w:val="00645469"/>
    <w:rsid w:val="006666D4"/>
    <w:rsid w:val="006676DD"/>
    <w:rsid w:val="00677CCD"/>
    <w:rsid w:val="00681862"/>
    <w:rsid w:val="006924C6"/>
    <w:rsid w:val="0069264A"/>
    <w:rsid w:val="00694005"/>
    <w:rsid w:val="00697CF7"/>
    <w:rsid w:val="00697E1B"/>
    <w:rsid w:val="006A26DD"/>
    <w:rsid w:val="006A3FE0"/>
    <w:rsid w:val="006A62AD"/>
    <w:rsid w:val="006B36FF"/>
    <w:rsid w:val="006B5908"/>
    <w:rsid w:val="006C315B"/>
    <w:rsid w:val="006D31DB"/>
    <w:rsid w:val="006D55DA"/>
    <w:rsid w:val="006E4BEE"/>
    <w:rsid w:val="006E58D8"/>
    <w:rsid w:val="00707E90"/>
    <w:rsid w:val="00712075"/>
    <w:rsid w:val="00717D7E"/>
    <w:rsid w:val="00722399"/>
    <w:rsid w:val="00730369"/>
    <w:rsid w:val="00735641"/>
    <w:rsid w:val="00740686"/>
    <w:rsid w:val="007472C5"/>
    <w:rsid w:val="0077340F"/>
    <w:rsid w:val="007751F9"/>
    <w:rsid w:val="00781D0A"/>
    <w:rsid w:val="00787621"/>
    <w:rsid w:val="00794875"/>
    <w:rsid w:val="00795952"/>
    <w:rsid w:val="00797032"/>
    <w:rsid w:val="00797FF0"/>
    <w:rsid w:val="007A0022"/>
    <w:rsid w:val="007A3F0C"/>
    <w:rsid w:val="007A687C"/>
    <w:rsid w:val="007B7BF0"/>
    <w:rsid w:val="007C32F8"/>
    <w:rsid w:val="007D0F39"/>
    <w:rsid w:val="007D2B0E"/>
    <w:rsid w:val="007D5EC9"/>
    <w:rsid w:val="007D64BD"/>
    <w:rsid w:val="007E5989"/>
    <w:rsid w:val="007F0DA7"/>
    <w:rsid w:val="007F7780"/>
    <w:rsid w:val="00800FE5"/>
    <w:rsid w:val="0080186F"/>
    <w:rsid w:val="00801F44"/>
    <w:rsid w:val="008149DD"/>
    <w:rsid w:val="0081535F"/>
    <w:rsid w:val="00821959"/>
    <w:rsid w:val="0082303B"/>
    <w:rsid w:val="008312C3"/>
    <w:rsid w:val="008647BB"/>
    <w:rsid w:val="00872B73"/>
    <w:rsid w:val="00884498"/>
    <w:rsid w:val="0088616D"/>
    <w:rsid w:val="0089216D"/>
    <w:rsid w:val="00895EC7"/>
    <w:rsid w:val="008B0C1D"/>
    <w:rsid w:val="008B0DFC"/>
    <w:rsid w:val="008B3BE6"/>
    <w:rsid w:val="008C1954"/>
    <w:rsid w:val="008C4F35"/>
    <w:rsid w:val="008D174B"/>
    <w:rsid w:val="008D4C97"/>
    <w:rsid w:val="008E099B"/>
    <w:rsid w:val="008E0F29"/>
    <w:rsid w:val="008E5986"/>
    <w:rsid w:val="008F6B23"/>
    <w:rsid w:val="00902F94"/>
    <w:rsid w:val="00906030"/>
    <w:rsid w:val="00916887"/>
    <w:rsid w:val="00921EF1"/>
    <w:rsid w:val="00933A6A"/>
    <w:rsid w:val="0093636E"/>
    <w:rsid w:val="00963A3C"/>
    <w:rsid w:val="009737DF"/>
    <w:rsid w:val="00983474"/>
    <w:rsid w:val="009904E6"/>
    <w:rsid w:val="009A025F"/>
    <w:rsid w:val="009A4CAA"/>
    <w:rsid w:val="009A4D1C"/>
    <w:rsid w:val="009A6BE4"/>
    <w:rsid w:val="009A7718"/>
    <w:rsid w:val="009B4DE3"/>
    <w:rsid w:val="009C6923"/>
    <w:rsid w:val="009C745D"/>
    <w:rsid w:val="009D0265"/>
    <w:rsid w:val="009D0B7D"/>
    <w:rsid w:val="009D0CAF"/>
    <w:rsid w:val="009E1987"/>
    <w:rsid w:val="009F26A8"/>
    <w:rsid w:val="00A00549"/>
    <w:rsid w:val="00A05972"/>
    <w:rsid w:val="00A2663C"/>
    <w:rsid w:val="00A318AB"/>
    <w:rsid w:val="00A34F78"/>
    <w:rsid w:val="00A41C41"/>
    <w:rsid w:val="00A44029"/>
    <w:rsid w:val="00A5502F"/>
    <w:rsid w:val="00A6096F"/>
    <w:rsid w:val="00A672D6"/>
    <w:rsid w:val="00A75AA3"/>
    <w:rsid w:val="00A81CC4"/>
    <w:rsid w:val="00A82034"/>
    <w:rsid w:val="00A91CD1"/>
    <w:rsid w:val="00A93613"/>
    <w:rsid w:val="00A94FA7"/>
    <w:rsid w:val="00AA2183"/>
    <w:rsid w:val="00AA45AC"/>
    <w:rsid w:val="00AC01D6"/>
    <w:rsid w:val="00AC0F7A"/>
    <w:rsid w:val="00AC440D"/>
    <w:rsid w:val="00AC7C03"/>
    <w:rsid w:val="00AD0820"/>
    <w:rsid w:val="00AD1D68"/>
    <w:rsid w:val="00AD792B"/>
    <w:rsid w:val="00AE095F"/>
    <w:rsid w:val="00AE367B"/>
    <w:rsid w:val="00AE466F"/>
    <w:rsid w:val="00AE762B"/>
    <w:rsid w:val="00AF33DA"/>
    <w:rsid w:val="00AF3D9A"/>
    <w:rsid w:val="00B020A4"/>
    <w:rsid w:val="00B1218E"/>
    <w:rsid w:val="00B13945"/>
    <w:rsid w:val="00B150CD"/>
    <w:rsid w:val="00B160A4"/>
    <w:rsid w:val="00B165F2"/>
    <w:rsid w:val="00B2129D"/>
    <w:rsid w:val="00B257F9"/>
    <w:rsid w:val="00B35C47"/>
    <w:rsid w:val="00B4513C"/>
    <w:rsid w:val="00B54866"/>
    <w:rsid w:val="00B67215"/>
    <w:rsid w:val="00B71054"/>
    <w:rsid w:val="00B72481"/>
    <w:rsid w:val="00B7529E"/>
    <w:rsid w:val="00B8104F"/>
    <w:rsid w:val="00B90A65"/>
    <w:rsid w:val="00B90C03"/>
    <w:rsid w:val="00B941CB"/>
    <w:rsid w:val="00B95259"/>
    <w:rsid w:val="00BA6B92"/>
    <w:rsid w:val="00BB16CF"/>
    <w:rsid w:val="00BB204C"/>
    <w:rsid w:val="00BB32B3"/>
    <w:rsid w:val="00BC11D2"/>
    <w:rsid w:val="00BC1E32"/>
    <w:rsid w:val="00BD1585"/>
    <w:rsid w:val="00BE50F7"/>
    <w:rsid w:val="00BF5E5C"/>
    <w:rsid w:val="00C00D06"/>
    <w:rsid w:val="00C02169"/>
    <w:rsid w:val="00C02207"/>
    <w:rsid w:val="00C10EE4"/>
    <w:rsid w:val="00C23D88"/>
    <w:rsid w:val="00C2532E"/>
    <w:rsid w:val="00C30A59"/>
    <w:rsid w:val="00C41317"/>
    <w:rsid w:val="00C42A73"/>
    <w:rsid w:val="00C44197"/>
    <w:rsid w:val="00C45EA6"/>
    <w:rsid w:val="00C57810"/>
    <w:rsid w:val="00C702A1"/>
    <w:rsid w:val="00C7045C"/>
    <w:rsid w:val="00C73832"/>
    <w:rsid w:val="00C76EF8"/>
    <w:rsid w:val="00C94D68"/>
    <w:rsid w:val="00CB04BA"/>
    <w:rsid w:val="00CB04D0"/>
    <w:rsid w:val="00CB4BC1"/>
    <w:rsid w:val="00CC610F"/>
    <w:rsid w:val="00CE13CC"/>
    <w:rsid w:val="00CE15CC"/>
    <w:rsid w:val="00CE5791"/>
    <w:rsid w:val="00CF4D7B"/>
    <w:rsid w:val="00D0519D"/>
    <w:rsid w:val="00D0698B"/>
    <w:rsid w:val="00D14C95"/>
    <w:rsid w:val="00D2338F"/>
    <w:rsid w:val="00D24736"/>
    <w:rsid w:val="00D2530F"/>
    <w:rsid w:val="00D338D0"/>
    <w:rsid w:val="00D34DDB"/>
    <w:rsid w:val="00D40EAF"/>
    <w:rsid w:val="00D44E98"/>
    <w:rsid w:val="00D44F7E"/>
    <w:rsid w:val="00D56860"/>
    <w:rsid w:val="00D61128"/>
    <w:rsid w:val="00D63B14"/>
    <w:rsid w:val="00D83D93"/>
    <w:rsid w:val="00D84F64"/>
    <w:rsid w:val="00D87612"/>
    <w:rsid w:val="00DA0CB3"/>
    <w:rsid w:val="00DA23B3"/>
    <w:rsid w:val="00DA6D64"/>
    <w:rsid w:val="00DB528F"/>
    <w:rsid w:val="00DB6A05"/>
    <w:rsid w:val="00DC2963"/>
    <w:rsid w:val="00DD2F08"/>
    <w:rsid w:val="00E06C56"/>
    <w:rsid w:val="00E076D0"/>
    <w:rsid w:val="00E109CD"/>
    <w:rsid w:val="00E114D0"/>
    <w:rsid w:val="00E27713"/>
    <w:rsid w:val="00E40FC7"/>
    <w:rsid w:val="00E415D4"/>
    <w:rsid w:val="00E41B55"/>
    <w:rsid w:val="00E41F24"/>
    <w:rsid w:val="00E45F4E"/>
    <w:rsid w:val="00E532E7"/>
    <w:rsid w:val="00E63756"/>
    <w:rsid w:val="00E644F4"/>
    <w:rsid w:val="00E95CBA"/>
    <w:rsid w:val="00EA2ABE"/>
    <w:rsid w:val="00EA32EE"/>
    <w:rsid w:val="00EB1116"/>
    <w:rsid w:val="00EB24FC"/>
    <w:rsid w:val="00EB78EF"/>
    <w:rsid w:val="00EC2408"/>
    <w:rsid w:val="00EC26FB"/>
    <w:rsid w:val="00EC4D55"/>
    <w:rsid w:val="00ED5EC0"/>
    <w:rsid w:val="00ED65C5"/>
    <w:rsid w:val="00F1129A"/>
    <w:rsid w:val="00F22ACC"/>
    <w:rsid w:val="00F37BAA"/>
    <w:rsid w:val="00F6116A"/>
    <w:rsid w:val="00F64F6B"/>
    <w:rsid w:val="00F74EA0"/>
    <w:rsid w:val="00F82B58"/>
    <w:rsid w:val="00F94A2D"/>
    <w:rsid w:val="00FA0571"/>
    <w:rsid w:val="00FA494F"/>
    <w:rsid w:val="00FA5BAF"/>
    <w:rsid w:val="00FA64C8"/>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D90D7"/>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uiPriority w:val="39"/>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70E58"/>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70E58"/>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1844</Words>
  <Characters>10511</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(June)</cp:lastModifiedBy>
  <cp:revision>6</cp:revision>
  <dcterms:created xsi:type="dcterms:W3CDTF">2022-08-09T10:22:00Z</dcterms:created>
  <dcterms:modified xsi:type="dcterms:W3CDTF">2022-08-10T02:04:00Z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